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A6B68" w:rsidRPr="0084355C" w14:paraId="2BAFA9E9" w14:textId="77777777" w:rsidTr="00327A71">
        <w:trPr>
          <w:trHeight w:val="567"/>
        </w:trPr>
        <w:tc>
          <w:tcPr>
            <w:tcW w:w="9781" w:type="dxa"/>
          </w:tcPr>
          <w:p w14:paraId="2F45C855" w14:textId="77777777" w:rsidR="00346C90" w:rsidRPr="0084355C" w:rsidRDefault="00346C90" w:rsidP="00346C90">
            <w:pPr>
              <w:widowControl w:val="0"/>
              <w:jc w:val="center"/>
              <w:rPr>
                <w:b/>
                <w:color w:val="000000" w:themeColor="text1"/>
                <w:lang w:eastAsia="zh-CN"/>
              </w:rPr>
            </w:pPr>
            <w:r w:rsidRPr="0084355C">
              <w:rPr>
                <w:b/>
                <w:color w:val="000000" w:themeColor="text1"/>
                <w:lang w:eastAsia="zh-CN"/>
              </w:rPr>
              <w:t>Аналіз регуляторного впливу</w:t>
            </w:r>
          </w:p>
          <w:p w14:paraId="52FFFBD8" w14:textId="6133E73C" w:rsidR="00ED31E8" w:rsidRPr="0084355C" w:rsidRDefault="00346C90" w:rsidP="00346C90">
            <w:pPr>
              <w:jc w:val="center"/>
              <w:rPr>
                <w:b/>
                <w:color w:val="000000" w:themeColor="text1"/>
                <w:lang w:eastAsia="zh-CN"/>
              </w:rPr>
            </w:pPr>
            <w:r w:rsidRPr="0084355C">
              <w:rPr>
                <w:b/>
                <w:color w:val="000000" w:themeColor="text1"/>
                <w:lang w:eastAsia="zh-CN"/>
              </w:rPr>
              <w:t xml:space="preserve">проєкту постанови Правління Національного банку України </w:t>
            </w:r>
            <w:r w:rsidR="008F4B1A" w:rsidRPr="0084355C">
              <w:rPr>
                <w:b/>
                <w:color w:val="000000" w:themeColor="text1"/>
                <w:lang w:eastAsia="zh-CN"/>
              </w:rPr>
              <w:br/>
            </w:r>
            <w:r w:rsidRPr="0084355C">
              <w:rPr>
                <w:b/>
                <w:color w:val="000000" w:themeColor="text1"/>
                <w:lang w:eastAsia="zh-CN"/>
              </w:rPr>
              <w:t>“</w:t>
            </w:r>
            <w:r w:rsidR="00CC6B74" w:rsidRPr="00CC6B74">
              <w:rPr>
                <w:b/>
                <w:color w:val="000000" w:themeColor="text1"/>
                <w:lang w:eastAsia="zh-CN"/>
              </w:rPr>
              <w:t>Про затвердження Положення про порядок призначення, здійснення та припинення тимчасової адміністрації страховика</w:t>
            </w:r>
            <w:r w:rsidR="00030304">
              <w:rPr>
                <w:b/>
                <w:color w:val="000000" w:themeColor="text1"/>
                <w:lang w:eastAsia="zh-CN"/>
              </w:rPr>
              <w:t xml:space="preserve">, </w:t>
            </w:r>
            <w:r w:rsidR="00CC6B74">
              <w:rPr>
                <w:b/>
                <w:color w:val="000000" w:themeColor="text1"/>
                <w:lang w:eastAsia="zh-CN"/>
              </w:rPr>
              <w:t>кредитної спілки</w:t>
            </w:r>
            <w:r w:rsidRPr="0084355C">
              <w:rPr>
                <w:b/>
                <w:color w:val="000000" w:themeColor="text1"/>
                <w:lang w:eastAsia="zh-CN"/>
              </w:rPr>
              <w:t>”</w:t>
            </w:r>
          </w:p>
          <w:p w14:paraId="2BAFA9E8" w14:textId="14D53932" w:rsidR="00346C90" w:rsidRPr="0084355C" w:rsidRDefault="00346C90" w:rsidP="00346C90">
            <w:pPr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</w:tbl>
    <w:p w14:paraId="2830018A" w14:textId="4E7E3586" w:rsidR="00346C90" w:rsidRPr="0084355C" w:rsidRDefault="00346C90" w:rsidP="00764000">
      <w:pPr>
        <w:widowControl w:val="0"/>
        <w:ind w:firstLine="567"/>
        <w:rPr>
          <w:b/>
          <w:color w:val="000000" w:themeColor="text1"/>
          <w:lang w:eastAsia="zh-CN"/>
        </w:rPr>
      </w:pPr>
      <w:r w:rsidRPr="0084355C">
        <w:rPr>
          <w:b/>
          <w:color w:val="000000" w:themeColor="text1"/>
          <w:lang w:eastAsia="zh-CN"/>
        </w:rPr>
        <w:t xml:space="preserve">І. </w:t>
      </w:r>
      <w:r w:rsidR="00612CB2" w:rsidRPr="00A07802">
        <w:rPr>
          <w:b/>
        </w:rPr>
        <w:t>Визначення проблеми, яку передбачається розв’язати шляхом державного регулювання</w:t>
      </w:r>
      <w:r w:rsidR="007479D2">
        <w:rPr>
          <w:b/>
        </w:rPr>
        <w:t xml:space="preserve"> </w:t>
      </w:r>
    </w:p>
    <w:p w14:paraId="6E3ED249" w14:textId="7C637CB5" w:rsidR="000E177D" w:rsidRPr="00AD7F7D" w:rsidRDefault="000E177D" w:rsidP="000E177D">
      <w:pPr>
        <w:widowControl w:val="0"/>
        <w:ind w:firstLine="567"/>
        <w:rPr>
          <w:rFonts w:eastAsia="Calibri"/>
          <w:lang w:eastAsia="en-US"/>
        </w:rPr>
      </w:pPr>
      <w:r w:rsidRPr="00AD7F7D">
        <w:rPr>
          <w:rFonts w:eastAsia="Calibri"/>
          <w:lang w:eastAsia="en-US"/>
        </w:rPr>
        <w:t>Відповідно до пункту 8</w:t>
      </w:r>
      <w:r w:rsidRPr="00AD7F7D">
        <w:rPr>
          <w:rFonts w:eastAsia="Calibri"/>
          <w:vertAlign w:val="superscript"/>
          <w:lang w:eastAsia="en-US"/>
        </w:rPr>
        <w:t>1</w:t>
      </w:r>
      <w:r w:rsidRPr="00AD7F7D">
        <w:rPr>
          <w:rFonts w:eastAsia="Calibri"/>
          <w:lang w:eastAsia="en-US"/>
        </w:rPr>
        <w:t xml:space="preserve"> статті </w:t>
      </w:r>
      <w:bookmarkStart w:id="0" w:name="_GoBack"/>
      <w:bookmarkEnd w:id="0"/>
      <w:r w:rsidRPr="00AD7F7D">
        <w:rPr>
          <w:rFonts w:eastAsia="Calibri"/>
          <w:lang w:eastAsia="en-US"/>
        </w:rPr>
        <w:t xml:space="preserve">7 розділу І Закону України “Про Національний банк України” </w:t>
      </w:r>
      <w:r w:rsidRPr="00AD7F7D">
        <w:rPr>
          <w:shd w:val="clear" w:color="auto" w:fill="FFFFFF"/>
        </w:rPr>
        <w:t xml:space="preserve">від 20 травня 1999 року № 679-XIV (далі – Закон про Національний банк) </w:t>
      </w:r>
      <w:r w:rsidR="0084130C">
        <w:rPr>
          <w:shd w:val="clear" w:color="auto" w:fill="FFFFFF"/>
        </w:rPr>
        <w:t>у</w:t>
      </w:r>
      <w:r w:rsidRPr="00AD7F7D">
        <w:rPr>
          <w:shd w:val="clear" w:color="auto" w:fill="FFFFFF"/>
        </w:rPr>
        <w:t xml:space="preserve"> редакції зі змінами, унесеними Законом України “Про фінансові послуги та фінансові компанії” від </w:t>
      </w:r>
      <w:r w:rsidRPr="00AD7F7D">
        <w:rPr>
          <w:rStyle w:val="rvts44"/>
          <w:bCs/>
        </w:rPr>
        <w:t>14 грудня 2021 року № 1953-IX</w:t>
      </w:r>
      <w:r w:rsidRPr="00AD7F7D">
        <w:rPr>
          <w:shd w:val="clear" w:color="auto" w:fill="FFFFFF"/>
        </w:rPr>
        <w:t xml:space="preserve"> (далі – Закон про фінансові послуги), </w:t>
      </w:r>
      <w:r w:rsidRPr="00AD7F7D">
        <w:rPr>
          <w:rFonts w:eastAsia="Calibri"/>
          <w:lang w:eastAsia="en-US"/>
        </w:rPr>
        <w:t xml:space="preserve">Національний банк України (далі – Національний банк)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установ, </w:t>
      </w:r>
      <w:r w:rsidRPr="00AD7F7D">
        <w:rPr>
          <w:shd w:val="clear" w:color="auto" w:fill="FFFFFF"/>
        </w:rPr>
        <w:t xml:space="preserve">інших осіб, які не є фінансовими установами, але мають право надавати окремі фінансові послуги, та осіб, які надають супровідні послуги, </w:t>
      </w:r>
      <w:r w:rsidR="0084130C">
        <w:rPr>
          <w:shd w:val="clear" w:color="auto" w:fill="FFFFFF"/>
        </w:rPr>
        <w:t>у</w:t>
      </w:r>
      <w:r w:rsidRPr="00AD7F7D">
        <w:rPr>
          <w:shd w:val="clear" w:color="auto" w:fill="FFFFFF"/>
        </w:rPr>
        <w:t xml:space="preserve"> межах, визначених Законом про фінансові послуги та іншими законами України.</w:t>
      </w:r>
      <w:r w:rsidRPr="00AD7F7D">
        <w:rPr>
          <w:rFonts w:eastAsia="Calibri"/>
          <w:lang w:eastAsia="en-US"/>
        </w:rPr>
        <w:t xml:space="preserve"> </w:t>
      </w:r>
    </w:p>
    <w:p w14:paraId="7B0D2B39" w14:textId="75A2331C" w:rsidR="00FE0799" w:rsidRPr="00FE0799" w:rsidRDefault="00FE0799" w:rsidP="00764000">
      <w:pPr>
        <w:ind w:right="-1"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Відповідно до абзацу двадцять восьмого пункту 1 статті 15 Закону про Національний банк </w:t>
      </w:r>
      <w:r w:rsidRPr="00331B6E">
        <w:rPr>
          <w:color w:val="000000" w:themeColor="text1"/>
          <w:shd w:val="clear" w:color="auto" w:fill="FFFFFF"/>
        </w:rPr>
        <w:t>Правління Національного банку</w:t>
      </w:r>
      <w:bookmarkStart w:id="1" w:name="n272"/>
      <w:bookmarkEnd w:id="1"/>
      <w:r w:rsidR="009E1B8F">
        <w:rPr>
          <w:color w:val="000000" w:themeColor="text1"/>
          <w:shd w:val="clear" w:color="auto" w:fill="FFFFFF"/>
        </w:rPr>
        <w:t xml:space="preserve"> України</w:t>
      </w:r>
      <w:r>
        <w:rPr>
          <w:color w:val="000000" w:themeColor="text1"/>
          <w:shd w:val="clear" w:color="auto" w:fill="FFFFFF"/>
        </w:rPr>
        <w:t xml:space="preserve"> приймає рішення про призначення </w:t>
      </w:r>
      <w:r w:rsidR="0084130C">
        <w:rPr>
          <w:color w:val="000000" w:themeColor="text1"/>
          <w:shd w:val="clear" w:color="auto" w:fill="FFFFFF"/>
        </w:rPr>
        <w:t>в</w:t>
      </w:r>
      <w:r>
        <w:rPr>
          <w:color w:val="000000" w:themeColor="text1"/>
          <w:shd w:val="clear" w:color="auto" w:fill="FFFFFF"/>
        </w:rPr>
        <w:t xml:space="preserve"> страховику</w:t>
      </w:r>
      <w:r w:rsidR="0026005F">
        <w:rPr>
          <w:color w:val="000000" w:themeColor="text1"/>
          <w:shd w:val="clear" w:color="auto" w:fill="FFFFFF"/>
        </w:rPr>
        <w:t>, кредитній спілці</w:t>
      </w:r>
      <w:r>
        <w:rPr>
          <w:color w:val="000000" w:themeColor="text1"/>
          <w:shd w:val="clear" w:color="auto" w:fill="FFFFFF"/>
        </w:rPr>
        <w:t xml:space="preserve"> </w:t>
      </w:r>
      <w:r w:rsidRPr="00331B6E">
        <w:rPr>
          <w:color w:val="000000" w:themeColor="text1"/>
          <w:shd w:val="clear" w:color="auto" w:fill="FFFFFF"/>
        </w:rPr>
        <w:t>тимчасової адміністрації</w:t>
      </w:r>
      <w:r>
        <w:rPr>
          <w:color w:val="000000" w:themeColor="text1"/>
          <w:shd w:val="clear" w:color="auto" w:fill="FFFFFF"/>
        </w:rPr>
        <w:t>.</w:t>
      </w:r>
      <w:r w:rsidRPr="00981CB0">
        <w:rPr>
          <w:color w:val="000000" w:themeColor="text1"/>
          <w:shd w:val="clear" w:color="auto" w:fill="FFFFFF"/>
        </w:rPr>
        <w:t xml:space="preserve"> </w:t>
      </w:r>
    </w:p>
    <w:p w14:paraId="43403380" w14:textId="7C20EE54" w:rsidR="00FE0799" w:rsidRDefault="00FE0799" w:rsidP="00764000">
      <w:pPr>
        <w:ind w:right="-1" w:firstLine="567"/>
      </w:pPr>
      <w:r>
        <w:rPr>
          <w:color w:val="000000" w:themeColor="text1"/>
          <w:shd w:val="clear" w:color="auto" w:fill="FFFFFF"/>
        </w:rPr>
        <w:t xml:space="preserve">Згідно з частиною другою </w:t>
      </w:r>
      <w:r w:rsidRPr="00FE42BE">
        <w:rPr>
          <w:color w:val="000000" w:themeColor="text1"/>
          <w:shd w:val="clear" w:color="auto" w:fill="FFFFFF"/>
        </w:rPr>
        <w:t xml:space="preserve">статті </w:t>
      </w:r>
      <w:r>
        <w:rPr>
          <w:color w:val="000000" w:themeColor="text1"/>
          <w:shd w:val="clear" w:color="auto" w:fill="FFFFFF"/>
        </w:rPr>
        <w:t>57</w:t>
      </w:r>
      <w:r w:rsidRPr="00FE42BE">
        <w:rPr>
          <w:color w:val="000000" w:themeColor="text1"/>
          <w:shd w:val="clear" w:color="auto" w:fill="FFFFFF"/>
        </w:rPr>
        <w:t xml:space="preserve"> Закону</w:t>
      </w:r>
      <w:r>
        <w:rPr>
          <w:color w:val="000000" w:themeColor="text1"/>
          <w:shd w:val="clear" w:color="auto" w:fill="FFFFFF"/>
        </w:rPr>
        <w:t xml:space="preserve"> </w:t>
      </w:r>
      <w:r w:rsidRPr="0084355C">
        <w:rPr>
          <w:color w:val="000000" w:themeColor="text1"/>
          <w:shd w:val="clear" w:color="auto" w:fill="FFFFFF"/>
        </w:rPr>
        <w:t>України “Про страхування” від 18 листопада 2021 року № 1909-IX (далі – Закон про страхування)</w:t>
      </w:r>
      <w:r w:rsidRPr="00FE42B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</w:t>
      </w:r>
      <w:r w:rsidRPr="00852742">
        <w:rPr>
          <w:color w:val="000000" w:themeColor="text1"/>
          <w:shd w:val="clear" w:color="auto" w:fill="FFFFFF"/>
        </w:rPr>
        <w:t>орядок призначення, здійснення та припинення тимчасової адміністрації, а також вимоги до тимчасового адміністратора і порядок прийняття рішення про дострокове припинення його повноважень встановлюються нормативно-правовими актами Національного банку.</w:t>
      </w:r>
      <w:r w:rsidR="000E177D">
        <w:rPr>
          <w:color w:val="000000" w:themeColor="text1"/>
          <w:shd w:val="clear" w:color="auto" w:fill="FFFFFF"/>
        </w:rPr>
        <w:t xml:space="preserve"> </w:t>
      </w:r>
    </w:p>
    <w:p w14:paraId="4DFEEDE7" w14:textId="73ED1A68" w:rsidR="00FE0799" w:rsidRDefault="000E177D" w:rsidP="00764000">
      <w:pPr>
        <w:ind w:right="-1" w:firstLine="567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У частині другій</w:t>
      </w:r>
      <w:r w:rsidR="00FE0799">
        <w:rPr>
          <w:rFonts w:eastAsia="Calibri"/>
          <w:color w:val="000000" w:themeColor="text1"/>
          <w:lang w:eastAsia="en-US"/>
        </w:rPr>
        <w:t xml:space="preserve"> статті 51 </w:t>
      </w:r>
      <w:r w:rsidRPr="006A1332">
        <w:rPr>
          <w:color w:val="000000" w:themeColor="text1"/>
          <w:shd w:val="clear" w:color="auto" w:fill="FFFFFF"/>
        </w:rPr>
        <w:t>Закону України “Про кредитні спілки” від 14 липня 2022 року № 3254-IX</w:t>
      </w:r>
      <w:r w:rsidRPr="00AD7F7D">
        <w:rPr>
          <w:color w:val="000000" w:themeColor="text1"/>
          <w:shd w:val="clear" w:color="auto" w:fill="FFFFFF"/>
        </w:rPr>
        <w:t xml:space="preserve"> (далі – Закон про кредитні спілки)</w:t>
      </w:r>
      <w:r>
        <w:rPr>
          <w:color w:val="000000" w:themeColor="text1"/>
          <w:shd w:val="clear" w:color="auto" w:fill="FFFFFF"/>
        </w:rPr>
        <w:t xml:space="preserve"> передбачено</w:t>
      </w:r>
      <w:r w:rsidR="00FE0799">
        <w:rPr>
          <w:color w:val="000000" w:themeColor="text1"/>
          <w:shd w:val="clear" w:color="auto" w:fill="FFFFFF"/>
        </w:rPr>
        <w:t xml:space="preserve">, що </w:t>
      </w:r>
      <w:r w:rsidR="00FE0799">
        <w:t>порядок призначення, здійснення та припинення тимчасової адміністрації, а також порядок прийняття рішення про дострокове припинення її повноважень встановлюються нормативно-правовими актами Національного банку з урахуванням вимог цього Закону.</w:t>
      </w:r>
      <w:r w:rsidR="00FE0799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</w:t>
      </w:r>
    </w:p>
    <w:p w14:paraId="21E6085A" w14:textId="1EB04BE5" w:rsidR="000117ED" w:rsidRPr="00AD7F7D" w:rsidRDefault="000117ED" w:rsidP="000117ED">
      <w:pPr>
        <w:widowControl w:val="0"/>
        <w:ind w:firstLine="567"/>
        <w:rPr>
          <w:rFonts w:eastAsia="Calibri"/>
          <w:color w:val="000000" w:themeColor="text1"/>
          <w:lang w:eastAsia="en-US"/>
        </w:rPr>
      </w:pPr>
      <w:r w:rsidRPr="00AD7F7D">
        <w:rPr>
          <w:color w:val="000000" w:themeColor="text1"/>
          <w:shd w:val="clear" w:color="auto" w:fill="FFFFFF"/>
        </w:rPr>
        <w:t>Відповідно до</w:t>
      </w:r>
      <w:r w:rsidRPr="00AD7F7D">
        <w:rPr>
          <w:rFonts w:eastAsiaTheme="minorEastAsia"/>
          <w:color w:val="000000" w:themeColor="text1"/>
          <w:lang w:eastAsia="en-US"/>
        </w:rPr>
        <w:t xml:space="preserve"> </w:t>
      </w:r>
      <w:r>
        <w:rPr>
          <w:color w:val="000000" w:themeColor="text1"/>
          <w:shd w:val="clear" w:color="auto" w:fill="FFFFFF"/>
        </w:rPr>
        <w:t xml:space="preserve">пункту 25 розділу </w:t>
      </w:r>
      <w:r>
        <w:rPr>
          <w:color w:val="000000" w:themeColor="text1"/>
          <w:shd w:val="clear" w:color="auto" w:fill="FFFFFF"/>
          <w:lang w:val="en-US"/>
        </w:rPr>
        <w:t xml:space="preserve">XV </w:t>
      </w:r>
      <w:r w:rsidRPr="00AD7F7D">
        <w:rPr>
          <w:color w:val="000000" w:themeColor="text1"/>
          <w:shd w:val="clear" w:color="auto" w:fill="FFFFFF"/>
        </w:rPr>
        <w:t xml:space="preserve">Закону про страхування та </w:t>
      </w:r>
      <w:r>
        <w:rPr>
          <w:color w:val="000000" w:themeColor="text1"/>
          <w:shd w:val="clear" w:color="auto" w:fill="FFFFFF"/>
        </w:rPr>
        <w:t xml:space="preserve">пункту 16 розділу </w:t>
      </w:r>
      <w:r>
        <w:rPr>
          <w:color w:val="000000" w:themeColor="text1"/>
          <w:shd w:val="clear" w:color="auto" w:fill="FFFFFF"/>
          <w:lang w:val="en-US"/>
        </w:rPr>
        <w:t xml:space="preserve">XI </w:t>
      </w:r>
      <w:r w:rsidRPr="00AD7F7D">
        <w:rPr>
          <w:color w:val="000000" w:themeColor="text1"/>
          <w:shd w:val="clear" w:color="auto" w:fill="FFFFFF"/>
        </w:rPr>
        <w:t>Закону про кредитні спілки Національному банку рекомендовано</w:t>
      </w:r>
      <w:r w:rsidRPr="00AD7F7D">
        <w:rPr>
          <w:rFonts w:eastAsiaTheme="minorEastAsia"/>
          <w:color w:val="000000" w:themeColor="text1"/>
          <w:lang w:eastAsia="en-US"/>
        </w:rPr>
        <w:t xml:space="preserve"> до дня введення в дію цих законів привести свої нормативно-правові акти у відповідність </w:t>
      </w:r>
      <w:r w:rsidRPr="00AD7F7D">
        <w:rPr>
          <w:rFonts w:eastAsia="Calibri"/>
          <w:color w:val="000000" w:themeColor="text1"/>
          <w:lang w:eastAsia="en-US"/>
        </w:rPr>
        <w:t>із цими законами та забезпечити прийняття нормативно-правових актів, необхідних для їх реалізації.</w:t>
      </w:r>
      <w:r w:rsidR="00AD2F11">
        <w:rPr>
          <w:rFonts w:eastAsia="Calibri"/>
          <w:color w:val="000000" w:themeColor="text1"/>
          <w:lang w:eastAsia="en-US"/>
        </w:rPr>
        <w:t xml:space="preserve"> </w:t>
      </w:r>
    </w:p>
    <w:p w14:paraId="535D6EAC" w14:textId="27CA2285" w:rsidR="00346C90" w:rsidRPr="0084355C" w:rsidRDefault="00346C90" w:rsidP="00764000">
      <w:pPr>
        <w:widowControl w:val="0"/>
        <w:ind w:firstLine="567"/>
        <w:rPr>
          <w:rFonts w:eastAsia="Calibri"/>
          <w:color w:val="000000" w:themeColor="text1"/>
          <w:lang w:eastAsia="en-US"/>
        </w:rPr>
      </w:pPr>
      <w:r w:rsidRPr="0084355C">
        <w:rPr>
          <w:rFonts w:eastAsia="Calibri"/>
          <w:color w:val="000000" w:themeColor="text1"/>
          <w:lang w:eastAsia="en-US"/>
        </w:rPr>
        <w:t xml:space="preserve">Отже, </w:t>
      </w:r>
      <w:r w:rsidR="00AD2F11">
        <w:rPr>
          <w:rFonts w:eastAsia="Calibri"/>
          <w:color w:val="000000" w:themeColor="text1"/>
          <w:lang w:eastAsia="en-US"/>
        </w:rPr>
        <w:t>у</w:t>
      </w:r>
      <w:r w:rsidR="002D7A29" w:rsidRPr="0084355C">
        <w:rPr>
          <w:rFonts w:eastAsia="Calibri"/>
          <w:color w:val="000000" w:themeColor="text1"/>
          <w:lang w:eastAsia="en-US"/>
        </w:rPr>
        <w:t xml:space="preserve">раховуючи </w:t>
      </w:r>
      <w:r w:rsidRPr="0084355C">
        <w:rPr>
          <w:rFonts w:eastAsia="Calibri"/>
          <w:color w:val="000000" w:themeColor="text1"/>
          <w:lang w:eastAsia="en-US"/>
        </w:rPr>
        <w:t>положен</w:t>
      </w:r>
      <w:r w:rsidR="00EA568D" w:rsidRPr="0084355C">
        <w:rPr>
          <w:rFonts w:eastAsia="Calibri"/>
          <w:color w:val="000000" w:themeColor="text1"/>
          <w:lang w:eastAsia="en-US"/>
        </w:rPr>
        <w:t xml:space="preserve">ня Закону про </w:t>
      </w:r>
      <w:r w:rsidR="00CC1728">
        <w:rPr>
          <w:rFonts w:eastAsia="Calibri"/>
          <w:color w:val="000000" w:themeColor="text1"/>
          <w:lang w:eastAsia="en-US"/>
        </w:rPr>
        <w:t xml:space="preserve">страхування та </w:t>
      </w:r>
      <w:r w:rsidR="00EA568D" w:rsidRPr="0084355C">
        <w:rPr>
          <w:rFonts w:eastAsia="Calibri"/>
          <w:color w:val="000000" w:themeColor="text1"/>
          <w:lang w:eastAsia="en-US"/>
        </w:rPr>
        <w:t xml:space="preserve">Закону про </w:t>
      </w:r>
      <w:r w:rsidR="00CC1728">
        <w:rPr>
          <w:rFonts w:eastAsia="Calibri"/>
          <w:color w:val="000000" w:themeColor="text1"/>
          <w:lang w:eastAsia="en-US"/>
        </w:rPr>
        <w:t>кредитні спілки</w:t>
      </w:r>
      <w:r w:rsidR="00EA568D" w:rsidRPr="0084355C">
        <w:rPr>
          <w:rFonts w:eastAsia="Calibri"/>
          <w:color w:val="000000" w:themeColor="text1"/>
          <w:lang w:eastAsia="en-US"/>
        </w:rPr>
        <w:t xml:space="preserve"> </w:t>
      </w:r>
      <w:r w:rsidRPr="0084355C">
        <w:rPr>
          <w:rFonts w:eastAsia="Calibri"/>
          <w:color w:val="000000" w:themeColor="text1"/>
          <w:lang w:eastAsia="en-US"/>
        </w:rPr>
        <w:t xml:space="preserve">для </w:t>
      </w:r>
      <w:r w:rsidR="00A94513">
        <w:rPr>
          <w:rFonts w:eastAsia="Calibri"/>
          <w:color w:val="000000" w:themeColor="text1"/>
          <w:lang w:eastAsia="en-US"/>
        </w:rPr>
        <w:t xml:space="preserve">забезпечення можливості </w:t>
      </w:r>
      <w:r w:rsidR="001352D6">
        <w:rPr>
          <w:rFonts w:eastAsia="Calibri"/>
          <w:color w:val="000000" w:themeColor="text1"/>
          <w:lang w:eastAsia="en-US"/>
        </w:rPr>
        <w:t xml:space="preserve">здійснення тимчасової адміністрації </w:t>
      </w:r>
      <w:r w:rsidR="0084130C">
        <w:rPr>
          <w:rFonts w:eastAsia="Calibri"/>
          <w:color w:val="000000" w:themeColor="text1"/>
          <w:lang w:eastAsia="en-US"/>
        </w:rPr>
        <w:t>в</w:t>
      </w:r>
      <w:r w:rsidR="001352D6">
        <w:rPr>
          <w:rFonts w:eastAsia="Calibri"/>
          <w:color w:val="000000" w:themeColor="text1"/>
          <w:lang w:eastAsia="en-US"/>
        </w:rPr>
        <w:t xml:space="preserve"> страховику та кредитній спілці</w:t>
      </w:r>
      <w:r w:rsidR="005100A0" w:rsidRPr="0084355C">
        <w:rPr>
          <w:rFonts w:eastAsia="Calibri"/>
          <w:color w:val="000000" w:themeColor="text1"/>
          <w:lang w:eastAsia="en-US"/>
        </w:rPr>
        <w:t xml:space="preserve"> </w:t>
      </w:r>
      <w:r w:rsidRPr="0084355C">
        <w:rPr>
          <w:rFonts w:eastAsia="Calibri"/>
          <w:color w:val="000000" w:themeColor="text1"/>
          <w:lang w:eastAsia="en-US"/>
        </w:rPr>
        <w:t xml:space="preserve">Національний банк повинен затвердити відповідний нормативно-правовий акт. </w:t>
      </w:r>
    </w:p>
    <w:p w14:paraId="426B9E1E" w14:textId="262D3BBD" w:rsidR="00346C90" w:rsidRPr="0084355C" w:rsidRDefault="00346C90" w:rsidP="00764000">
      <w:pPr>
        <w:widowControl w:val="0"/>
        <w:ind w:firstLine="567"/>
        <w:rPr>
          <w:rFonts w:eastAsia="Calibri"/>
          <w:color w:val="000000" w:themeColor="text1"/>
          <w:lang w:eastAsia="en-US"/>
        </w:rPr>
      </w:pPr>
      <w:r w:rsidRPr="0084355C">
        <w:rPr>
          <w:rFonts w:eastAsia="Calibri"/>
          <w:color w:val="000000" w:themeColor="text1"/>
          <w:lang w:eastAsia="en-US"/>
        </w:rPr>
        <w:t>Зазначене</w:t>
      </w:r>
      <w:r w:rsidR="0084130C">
        <w:rPr>
          <w:rFonts w:eastAsia="Calibri"/>
          <w:color w:val="000000" w:themeColor="text1"/>
          <w:lang w:eastAsia="en-US"/>
        </w:rPr>
        <w:t xml:space="preserve"> вище</w:t>
      </w:r>
      <w:r w:rsidRPr="0084355C">
        <w:rPr>
          <w:rFonts w:eastAsia="Calibri"/>
          <w:color w:val="000000" w:themeColor="text1"/>
          <w:lang w:eastAsia="en-US"/>
        </w:rPr>
        <w:t xml:space="preserve"> питання не може виріш</w:t>
      </w:r>
      <w:r w:rsidR="0084130C">
        <w:rPr>
          <w:rFonts w:eastAsia="Calibri"/>
          <w:color w:val="000000" w:themeColor="text1"/>
          <w:lang w:eastAsia="en-US"/>
        </w:rPr>
        <w:t>уватися</w:t>
      </w:r>
      <w:r w:rsidRPr="0084355C">
        <w:rPr>
          <w:rFonts w:eastAsia="Calibri"/>
          <w:color w:val="000000" w:themeColor="text1"/>
          <w:lang w:eastAsia="en-US"/>
        </w:rPr>
        <w:t xml:space="preserve"> за допомогою ринкових механізмів, оскільки воно стосується реалізації повноважень Національного банку, визначених </w:t>
      </w:r>
      <w:r w:rsidR="006A6075" w:rsidRPr="0084355C">
        <w:rPr>
          <w:rFonts w:eastAsia="Calibri"/>
          <w:color w:val="000000" w:themeColor="text1"/>
          <w:lang w:eastAsia="en-US"/>
        </w:rPr>
        <w:t>Законом про страхування</w:t>
      </w:r>
      <w:r w:rsidR="008F50B2">
        <w:rPr>
          <w:rFonts w:eastAsia="Calibri"/>
          <w:color w:val="000000" w:themeColor="text1"/>
          <w:lang w:eastAsia="en-US"/>
        </w:rPr>
        <w:t>, Законом про кредитні спілки</w:t>
      </w:r>
      <w:r w:rsidRPr="0084355C">
        <w:rPr>
          <w:rFonts w:eastAsia="Calibri"/>
          <w:color w:val="000000" w:themeColor="text1"/>
          <w:lang w:eastAsia="en-US"/>
        </w:rPr>
        <w:t xml:space="preserve"> та </w:t>
      </w:r>
      <w:r w:rsidR="002469E4" w:rsidRPr="0084355C">
        <w:rPr>
          <w:rFonts w:eastAsia="Calibri"/>
          <w:color w:val="000000" w:themeColor="text1"/>
          <w:lang w:eastAsia="en-US"/>
        </w:rPr>
        <w:lastRenderedPageBreak/>
        <w:t>Закон</w:t>
      </w:r>
      <w:r w:rsidR="00A637C4" w:rsidRPr="0084355C">
        <w:rPr>
          <w:rFonts w:eastAsia="Calibri"/>
          <w:color w:val="000000" w:themeColor="text1"/>
          <w:lang w:eastAsia="en-US"/>
        </w:rPr>
        <w:t>ом п</w:t>
      </w:r>
      <w:r w:rsidR="002469E4" w:rsidRPr="0084355C">
        <w:rPr>
          <w:rFonts w:eastAsia="Calibri"/>
          <w:color w:val="000000" w:themeColor="text1"/>
          <w:lang w:eastAsia="en-US"/>
        </w:rPr>
        <w:t>ро Національний банк</w:t>
      </w:r>
      <w:r w:rsidRPr="0084355C">
        <w:rPr>
          <w:rFonts w:eastAsia="Calibri"/>
          <w:color w:val="000000" w:themeColor="text1"/>
          <w:lang w:eastAsia="en-US"/>
        </w:rPr>
        <w:t xml:space="preserve">. </w:t>
      </w:r>
    </w:p>
    <w:p w14:paraId="46DB2D30" w14:textId="77777777" w:rsidR="00524738" w:rsidRDefault="00346C90" w:rsidP="00764000">
      <w:pPr>
        <w:widowControl w:val="0"/>
        <w:ind w:firstLine="567"/>
        <w:rPr>
          <w:rFonts w:eastAsia="Calibri"/>
          <w:color w:val="000000" w:themeColor="text1"/>
          <w:lang w:eastAsia="en-US"/>
        </w:rPr>
      </w:pPr>
      <w:r w:rsidRPr="0084355C">
        <w:rPr>
          <w:rFonts w:eastAsia="Calibri"/>
          <w:color w:val="000000" w:themeColor="text1"/>
          <w:lang w:eastAsia="en-US"/>
        </w:rPr>
        <w:t xml:space="preserve">У відповідній сфері правового регулювання </w:t>
      </w:r>
      <w:r w:rsidR="00262AA6">
        <w:rPr>
          <w:rFonts w:eastAsia="Calibri"/>
          <w:color w:val="000000" w:themeColor="text1"/>
          <w:lang w:eastAsia="en-US"/>
        </w:rPr>
        <w:t xml:space="preserve">наразі є </w:t>
      </w:r>
      <w:r w:rsidR="00524738">
        <w:rPr>
          <w:rFonts w:eastAsia="Calibri"/>
          <w:color w:val="000000" w:themeColor="text1"/>
          <w:lang w:eastAsia="en-US"/>
        </w:rPr>
        <w:t>чинними:</w:t>
      </w:r>
    </w:p>
    <w:p w14:paraId="04884B59" w14:textId="1A7F9B97" w:rsidR="00524738" w:rsidRPr="009D2072" w:rsidRDefault="00524738" w:rsidP="009D2072">
      <w:pPr>
        <w:pStyle w:val="af3"/>
        <w:widowControl w:val="0"/>
        <w:numPr>
          <w:ilvl w:val="0"/>
          <w:numId w:val="13"/>
        </w:numPr>
        <w:tabs>
          <w:tab w:val="left" w:pos="1134"/>
        </w:tabs>
        <w:ind w:left="0" w:firstLine="567"/>
        <w:rPr>
          <w:rFonts w:eastAsia="Calibri"/>
          <w:color w:val="000000" w:themeColor="text1"/>
          <w:lang w:eastAsia="en-US"/>
        </w:rPr>
      </w:pPr>
      <w:r w:rsidRPr="009D2072">
        <w:rPr>
          <w:rFonts w:eastAsia="Calibri"/>
          <w:color w:val="000000" w:themeColor="text1"/>
          <w:lang w:eastAsia="en-US"/>
        </w:rPr>
        <w:t>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послуг, затверджене постановою Правління Національного банку України від 01 лютого 2021 року № 12</w:t>
      </w:r>
      <w:r w:rsidR="00DC79B4">
        <w:rPr>
          <w:rFonts w:eastAsia="Calibri"/>
          <w:color w:val="000000" w:themeColor="text1"/>
          <w:lang w:eastAsia="en-US"/>
        </w:rPr>
        <w:t xml:space="preserve"> (зі змінами) (далі – Положення № 12)</w:t>
      </w:r>
      <w:r w:rsidRPr="009D2072">
        <w:rPr>
          <w:rFonts w:eastAsia="Calibri"/>
          <w:color w:val="000000" w:themeColor="text1"/>
          <w:lang w:eastAsia="en-US"/>
        </w:rPr>
        <w:t>;</w:t>
      </w:r>
    </w:p>
    <w:p w14:paraId="0559593F" w14:textId="3FDFDC68" w:rsidR="002469E4" w:rsidRPr="009D2072" w:rsidRDefault="00262AA6" w:rsidP="009D2072">
      <w:pPr>
        <w:pStyle w:val="af3"/>
        <w:widowControl w:val="0"/>
        <w:numPr>
          <w:ilvl w:val="0"/>
          <w:numId w:val="13"/>
        </w:numPr>
        <w:tabs>
          <w:tab w:val="left" w:pos="1134"/>
        </w:tabs>
        <w:ind w:left="0" w:firstLine="567"/>
        <w:rPr>
          <w:rFonts w:eastAsia="Calibri"/>
          <w:color w:val="000000" w:themeColor="text1"/>
          <w:lang w:eastAsia="en-US"/>
        </w:rPr>
      </w:pPr>
      <w:r w:rsidRPr="009D2072">
        <w:rPr>
          <w:rFonts w:eastAsia="Calibri"/>
          <w:color w:val="000000" w:themeColor="text1"/>
          <w:lang w:eastAsia="en-US"/>
        </w:rPr>
        <w:t>постанова</w:t>
      </w:r>
      <w:r w:rsidR="00346C90" w:rsidRPr="009D2072">
        <w:rPr>
          <w:rFonts w:eastAsia="Calibri"/>
          <w:color w:val="000000" w:themeColor="text1"/>
          <w:lang w:eastAsia="en-US"/>
        </w:rPr>
        <w:t xml:space="preserve"> </w:t>
      </w:r>
      <w:r w:rsidR="00A355D3" w:rsidRPr="009D2072">
        <w:rPr>
          <w:rFonts w:eastAsia="Calibri"/>
          <w:color w:val="000000" w:themeColor="text1"/>
          <w:lang w:eastAsia="en-US"/>
        </w:rPr>
        <w:t xml:space="preserve">Правління Національного банку України </w:t>
      </w:r>
      <w:r w:rsidRPr="009D2072">
        <w:rPr>
          <w:rFonts w:eastAsia="Calibri"/>
          <w:color w:val="000000" w:themeColor="text1"/>
          <w:lang w:eastAsia="en-US"/>
        </w:rPr>
        <w:t xml:space="preserve">“Про затвердження Положення про особливості застосування Національним банком України заходу впливу у вигляді відсторонення керівництва від управління фінансовою установою та призначення тимчасової адміністрації” </w:t>
      </w:r>
      <w:r w:rsidR="00A355D3" w:rsidRPr="009D2072">
        <w:rPr>
          <w:rFonts w:eastAsia="Calibri"/>
          <w:color w:val="000000" w:themeColor="text1"/>
          <w:lang w:eastAsia="en-US"/>
        </w:rPr>
        <w:t xml:space="preserve">від </w:t>
      </w:r>
      <w:r w:rsidRPr="009D2072">
        <w:rPr>
          <w:rFonts w:eastAsia="Calibri"/>
          <w:color w:val="000000" w:themeColor="text1"/>
          <w:lang w:eastAsia="en-US"/>
        </w:rPr>
        <w:t>02</w:t>
      </w:r>
      <w:r w:rsidR="00A355D3" w:rsidRPr="009D2072">
        <w:rPr>
          <w:rFonts w:eastAsia="Calibri"/>
          <w:color w:val="000000" w:themeColor="text1"/>
          <w:lang w:eastAsia="en-US"/>
        </w:rPr>
        <w:t xml:space="preserve"> </w:t>
      </w:r>
      <w:r w:rsidR="004B6EB8" w:rsidRPr="009D2072">
        <w:rPr>
          <w:rFonts w:eastAsia="Calibri"/>
          <w:color w:val="000000" w:themeColor="text1"/>
          <w:lang w:eastAsia="en-US"/>
        </w:rPr>
        <w:t>лютого 2021</w:t>
      </w:r>
      <w:r w:rsidR="00524738" w:rsidRPr="009D2072">
        <w:rPr>
          <w:rFonts w:eastAsia="Calibri"/>
          <w:color w:val="000000" w:themeColor="text1"/>
          <w:lang w:eastAsia="en-US"/>
        </w:rPr>
        <w:t xml:space="preserve"> року № </w:t>
      </w:r>
      <w:r w:rsidRPr="009D2072">
        <w:rPr>
          <w:rFonts w:eastAsia="Calibri"/>
          <w:color w:val="000000" w:themeColor="text1"/>
          <w:lang w:eastAsia="en-US"/>
        </w:rPr>
        <w:t>13</w:t>
      </w:r>
      <w:r w:rsidR="00BE72C8">
        <w:rPr>
          <w:rFonts w:eastAsia="Calibri"/>
          <w:color w:val="000000" w:themeColor="text1"/>
          <w:lang w:eastAsia="en-US"/>
        </w:rPr>
        <w:t xml:space="preserve"> (далі – Положення № 13)</w:t>
      </w:r>
      <w:r w:rsidR="005D49C2" w:rsidRPr="009D2072">
        <w:rPr>
          <w:rFonts w:eastAsia="Calibri"/>
          <w:color w:val="000000" w:themeColor="text1"/>
          <w:lang w:eastAsia="en-US"/>
        </w:rPr>
        <w:t xml:space="preserve">. </w:t>
      </w:r>
      <w:r w:rsidR="006B32E8">
        <w:rPr>
          <w:rFonts w:eastAsia="Calibri"/>
          <w:color w:val="000000" w:themeColor="text1"/>
          <w:lang w:eastAsia="en-US"/>
        </w:rPr>
        <w:t xml:space="preserve"> </w:t>
      </w:r>
    </w:p>
    <w:p w14:paraId="609CEA31" w14:textId="4E6079D9" w:rsidR="00BE72C8" w:rsidRDefault="00DC79B4" w:rsidP="00764000">
      <w:pPr>
        <w:widowControl w:val="0"/>
        <w:ind w:firstLine="567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Положення № 12 </w:t>
      </w:r>
      <w:r w:rsidRPr="00DC79B4">
        <w:rPr>
          <w:rFonts w:eastAsia="Calibri"/>
          <w:color w:val="000000" w:themeColor="text1"/>
          <w:lang w:eastAsia="en-US"/>
        </w:rPr>
        <w:t>визначає порядок та умови застосування Національним банком заходів впливу (санкцій) у сфері державного регулювання діяльності на ринках небанківських фінансових послуг, включаючи зах</w:t>
      </w:r>
      <w:r w:rsidR="00A87C43">
        <w:rPr>
          <w:rFonts w:eastAsia="Calibri"/>
          <w:color w:val="000000" w:themeColor="text1"/>
          <w:lang w:eastAsia="en-US"/>
        </w:rPr>
        <w:t>ід</w:t>
      </w:r>
      <w:r w:rsidRPr="00DC79B4">
        <w:rPr>
          <w:rFonts w:eastAsia="Calibri"/>
          <w:color w:val="000000" w:themeColor="text1"/>
          <w:lang w:eastAsia="en-US"/>
        </w:rPr>
        <w:t xml:space="preserve"> впливу, передбачен</w:t>
      </w:r>
      <w:r w:rsidR="00A87C43">
        <w:rPr>
          <w:rFonts w:eastAsia="Calibri"/>
          <w:color w:val="000000" w:themeColor="text1"/>
          <w:lang w:eastAsia="en-US"/>
        </w:rPr>
        <w:t>ий у</w:t>
      </w:r>
      <w:r w:rsidRPr="00DC79B4">
        <w:rPr>
          <w:rFonts w:eastAsia="Calibri"/>
          <w:color w:val="000000" w:themeColor="text1"/>
          <w:lang w:eastAsia="en-US"/>
        </w:rPr>
        <w:t xml:space="preserve"> пункт</w:t>
      </w:r>
      <w:r w:rsidR="00A87C43">
        <w:rPr>
          <w:rFonts w:eastAsia="Calibri"/>
          <w:color w:val="000000" w:themeColor="text1"/>
          <w:lang w:eastAsia="en-US"/>
        </w:rPr>
        <w:t>і</w:t>
      </w:r>
      <w:r w:rsidRPr="00DC79B4">
        <w:rPr>
          <w:rFonts w:eastAsia="Calibri"/>
          <w:color w:val="000000" w:themeColor="text1"/>
          <w:lang w:eastAsia="en-US"/>
        </w:rPr>
        <w:t xml:space="preserve"> 5 частини першої статті 40 </w:t>
      </w:r>
      <w:r w:rsidRPr="006F3703">
        <w:rPr>
          <w:rFonts w:eastAsia="Calibri"/>
          <w:color w:val="000000" w:themeColor="text1"/>
          <w:lang w:eastAsia="en-US"/>
        </w:rPr>
        <w:t>Закону України від 12 липня 2001 року № 2664-III “Про фінансові послуги та державне регулювання ринків фінансових послуг”</w:t>
      </w:r>
      <w:r w:rsidR="00BE72C8">
        <w:rPr>
          <w:rFonts w:eastAsia="Calibri"/>
          <w:color w:val="000000" w:themeColor="text1"/>
          <w:lang w:eastAsia="en-US"/>
        </w:rPr>
        <w:t xml:space="preserve"> (далі – Закон про </w:t>
      </w:r>
      <w:r w:rsidR="00BE72C8" w:rsidRPr="006F3703">
        <w:rPr>
          <w:rFonts w:eastAsia="Calibri"/>
          <w:color w:val="000000" w:themeColor="text1"/>
          <w:lang w:eastAsia="en-US"/>
        </w:rPr>
        <w:t>державне регулювання ринків фінансових послуг</w:t>
      </w:r>
      <w:r w:rsidR="00BE72C8">
        <w:rPr>
          <w:rFonts w:eastAsia="Calibri"/>
          <w:color w:val="000000" w:themeColor="text1"/>
          <w:lang w:eastAsia="en-US"/>
        </w:rPr>
        <w:t>).</w:t>
      </w:r>
    </w:p>
    <w:p w14:paraId="14FFEA0A" w14:textId="060D76ED" w:rsidR="00DC79B4" w:rsidRDefault="00BE72C8" w:rsidP="00764000">
      <w:pPr>
        <w:widowControl w:val="0"/>
        <w:ind w:firstLine="567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Зі свого боку Положення № 13 </w:t>
      </w:r>
      <w:r w:rsidRPr="009F7053">
        <w:rPr>
          <w:rFonts w:eastAsia="Calibri"/>
          <w:color w:val="000000" w:themeColor="text1"/>
          <w:lang w:eastAsia="en-US"/>
        </w:rPr>
        <w:t>визначає особливості застосування Національним банком заходу впливу у вигляді відсторонення керівництва від управління фінансовою установою та призначення тимчасової адміністрації стосовно фінансової установи (крім банку), діяльність якої ліцензується Національним банком</w:t>
      </w:r>
      <w:r w:rsidR="000C5CD6">
        <w:rPr>
          <w:rFonts w:eastAsia="Calibri"/>
          <w:color w:val="000000" w:themeColor="text1"/>
          <w:lang w:eastAsia="en-US"/>
        </w:rPr>
        <w:t>,</w:t>
      </w:r>
      <w:r w:rsidRPr="009F7053">
        <w:rPr>
          <w:rFonts w:eastAsia="Calibri"/>
          <w:color w:val="000000" w:themeColor="text1"/>
          <w:lang w:eastAsia="en-US"/>
        </w:rPr>
        <w:t xml:space="preserve"> у порядку, передбаченому Законом </w:t>
      </w:r>
      <w:r>
        <w:rPr>
          <w:rFonts w:eastAsia="Calibri"/>
          <w:color w:val="000000" w:themeColor="text1"/>
          <w:lang w:eastAsia="en-US"/>
        </w:rPr>
        <w:t xml:space="preserve">про </w:t>
      </w:r>
      <w:r w:rsidRPr="006F3703">
        <w:rPr>
          <w:rFonts w:eastAsia="Calibri"/>
          <w:color w:val="000000" w:themeColor="text1"/>
          <w:lang w:eastAsia="en-US"/>
        </w:rPr>
        <w:t>державне регулювання ринків фінансових послуг</w:t>
      </w:r>
      <w:r w:rsidRPr="009F7053">
        <w:rPr>
          <w:rFonts w:eastAsia="Calibri"/>
          <w:color w:val="000000" w:themeColor="text1"/>
          <w:lang w:eastAsia="en-US"/>
        </w:rPr>
        <w:t xml:space="preserve"> та Положенням № 12.</w:t>
      </w:r>
      <w:r w:rsidR="00DC79B4" w:rsidRPr="006F3703">
        <w:rPr>
          <w:rFonts w:eastAsia="Calibri"/>
          <w:color w:val="000000" w:themeColor="text1"/>
          <w:lang w:eastAsia="en-US"/>
        </w:rPr>
        <w:t xml:space="preserve"> </w:t>
      </w:r>
      <w:r w:rsidR="00DC79B4">
        <w:rPr>
          <w:rFonts w:eastAsia="Calibri"/>
          <w:color w:val="000000" w:themeColor="text1"/>
          <w:lang w:eastAsia="en-US"/>
        </w:rPr>
        <w:t xml:space="preserve"> </w:t>
      </w:r>
      <w:r w:rsidR="00DC79B4" w:rsidRPr="00DC79B4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 </w:t>
      </w:r>
    </w:p>
    <w:p w14:paraId="4C61EFB9" w14:textId="05AD3881" w:rsidR="00DB089C" w:rsidRPr="0084355C" w:rsidRDefault="00DB089C" w:rsidP="00DB089C">
      <w:pPr>
        <w:widowControl w:val="0"/>
        <w:ind w:firstLine="567"/>
        <w:rPr>
          <w:rFonts w:eastAsia="Calibri"/>
          <w:color w:val="000000" w:themeColor="text1"/>
          <w:lang w:eastAsia="en-US"/>
        </w:rPr>
      </w:pPr>
      <w:r w:rsidRPr="0084355C">
        <w:rPr>
          <w:rFonts w:eastAsia="Calibri"/>
          <w:color w:val="000000" w:themeColor="text1"/>
          <w:lang w:eastAsia="en-US"/>
        </w:rPr>
        <w:t xml:space="preserve">Отже, </w:t>
      </w:r>
      <w:r w:rsidR="00A87C43">
        <w:rPr>
          <w:rFonts w:eastAsia="Calibri"/>
          <w:color w:val="000000" w:themeColor="text1"/>
          <w:lang w:eastAsia="en-US"/>
        </w:rPr>
        <w:t>є</w:t>
      </w:r>
      <w:r w:rsidRPr="0084355C">
        <w:rPr>
          <w:rFonts w:eastAsia="Calibri"/>
          <w:color w:val="000000" w:themeColor="text1"/>
          <w:lang w:eastAsia="en-US"/>
        </w:rPr>
        <w:t xml:space="preserve"> потреба в урегулюванні вищезазначених проблем та затвердженні відповідного нормативно-правового акта Національного банку.</w:t>
      </w:r>
    </w:p>
    <w:p w14:paraId="5005366A" w14:textId="77777777" w:rsidR="00346C90" w:rsidRPr="0084355C" w:rsidRDefault="00346C90" w:rsidP="00764000">
      <w:pPr>
        <w:widowControl w:val="0"/>
        <w:shd w:val="clear" w:color="auto" w:fill="FFFFFF"/>
        <w:ind w:firstLine="567"/>
        <w:rPr>
          <w:color w:val="000000" w:themeColor="text1"/>
          <w:lang w:eastAsia="zh-CN"/>
        </w:rPr>
      </w:pPr>
    </w:p>
    <w:p w14:paraId="73055F37" w14:textId="77777777" w:rsidR="00346C90" w:rsidRPr="0084355C" w:rsidRDefault="00346C90" w:rsidP="00764000">
      <w:pPr>
        <w:widowControl w:val="0"/>
        <w:ind w:firstLine="567"/>
        <w:rPr>
          <w:b/>
          <w:color w:val="000000" w:themeColor="text1"/>
          <w:lang w:eastAsia="zh-CN"/>
        </w:rPr>
      </w:pPr>
      <w:r w:rsidRPr="0084355C">
        <w:rPr>
          <w:b/>
          <w:color w:val="000000" w:themeColor="text1"/>
          <w:lang w:eastAsia="zh-CN"/>
        </w:rPr>
        <w:t xml:space="preserve">ІІ. Визначення цілей державного регулювання </w:t>
      </w:r>
    </w:p>
    <w:p w14:paraId="3022B199" w14:textId="586EF6B2" w:rsidR="00346C90" w:rsidRPr="0084355C" w:rsidRDefault="00346C90" w:rsidP="00764000">
      <w:pPr>
        <w:widowControl w:val="0"/>
        <w:ind w:firstLine="567"/>
        <w:rPr>
          <w:lang w:eastAsia="ru-RU"/>
        </w:rPr>
      </w:pPr>
      <w:r w:rsidRPr="0084355C">
        <w:rPr>
          <w:color w:val="000000" w:themeColor="text1"/>
          <w:lang w:eastAsia="ru-RU"/>
        </w:rPr>
        <w:t>Цілями державно</w:t>
      </w:r>
      <w:r w:rsidRPr="004A7440">
        <w:rPr>
          <w:lang w:eastAsia="ru-RU"/>
        </w:rPr>
        <w:t xml:space="preserve">го </w:t>
      </w:r>
      <w:r w:rsidRPr="0084355C">
        <w:rPr>
          <w:lang w:eastAsia="ru-RU"/>
        </w:rPr>
        <w:t>регулювання, безпосередньо пов’язан</w:t>
      </w:r>
      <w:r w:rsidR="00020145" w:rsidRPr="0084355C">
        <w:rPr>
          <w:lang w:eastAsia="ru-RU"/>
        </w:rPr>
        <w:t>ими</w:t>
      </w:r>
      <w:r w:rsidRPr="0084355C">
        <w:rPr>
          <w:lang w:eastAsia="ru-RU"/>
        </w:rPr>
        <w:t xml:space="preserve"> з </w:t>
      </w:r>
      <w:r w:rsidR="00020145" w:rsidRPr="0084355C">
        <w:rPr>
          <w:lang w:eastAsia="ru-RU"/>
        </w:rPr>
        <w:t>вирішенням вище</w:t>
      </w:r>
      <w:r w:rsidRPr="0084355C">
        <w:rPr>
          <w:lang w:eastAsia="ru-RU"/>
        </w:rPr>
        <w:t>зазначених проблем,</w:t>
      </w:r>
      <w:r w:rsidR="00B4456B" w:rsidRPr="0084355C">
        <w:rPr>
          <w:lang w:eastAsia="ru-RU"/>
        </w:rPr>
        <w:t xml:space="preserve"> є </w:t>
      </w:r>
      <w:r w:rsidR="00B203D3" w:rsidRPr="00DD0876">
        <w:rPr>
          <w:bCs/>
        </w:rPr>
        <w:t xml:space="preserve">збереження активів страховика, </w:t>
      </w:r>
      <w:r w:rsidR="00B203D3">
        <w:rPr>
          <w:bCs/>
        </w:rPr>
        <w:t>кредитної спілки щодо яких</w:t>
      </w:r>
      <w:r w:rsidR="00B203D3" w:rsidRPr="00DD0876">
        <w:rPr>
          <w:bCs/>
        </w:rPr>
        <w:t xml:space="preserve"> прийнято рішення про</w:t>
      </w:r>
      <w:r w:rsidR="00EF539D">
        <w:rPr>
          <w:bCs/>
        </w:rPr>
        <w:t xml:space="preserve"> </w:t>
      </w:r>
      <w:r w:rsidR="00EF539D" w:rsidRPr="00DA26E3">
        <w:rPr>
          <w:bCs/>
        </w:rPr>
        <w:t>призначення тимчасової адміністрації</w:t>
      </w:r>
      <w:r w:rsidRPr="0084355C">
        <w:rPr>
          <w:lang w:eastAsia="ru-RU"/>
        </w:rPr>
        <w:t xml:space="preserve">. </w:t>
      </w:r>
      <w:r w:rsidR="00070B94">
        <w:rPr>
          <w:lang w:eastAsia="ru-RU"/>
        </w:rPr>
        <w:t xml:space="preserve"> </w:t>
      </w:r>
    </w:p>
    <w:p w14:paraId="7B88356A" w14:textId="77777777" w:rsidR="00B4456B" w:rsidRPr="0084355C" w:rsidRDefault="00B4456B" w:rsidP="00764000">
      <w:pPr>
        <w:widowControl w:val="0"/>
        <w:ind w:firstLine="567"/>
        <w:rPr>
          <w:color w:val="000000" w:themeColor="text1"/>
          <w:lang w:eastAsia="zh-CN"/>
        </w:rPr>
      </w:pPr>
    </w:p>
    <w:p w14:paraId="1BC9F93C" w14:textId="3DBDA6A6" w:rsidR="00346C90" w:rsidRPr="0084355C" w:rsidRDefault="00346C90" w:rsidP="00764000">
      <w:pPr>
        <w:widowControl w:val="0"/>
        <w:ind w:firstLine="567"/>
        <w:rPr>
          <w:b/>
          <w:color w:val="000000" w:themeColor="text1"/>
          <w:lang w:eastAsia="zh-CN"/>
        </w:rPr>
      </w:pPr>
      <w:r w:rsidRPr="0084355C">
        <w:rPr>
          <w:b/>
          <w:color w:val="000000" w:themeColor="text1"/>
          <w:lang w:eastAsia="zh-CN"/>
        </w:rPr>
        <w:t xml:space="preserve">ІІІ. </w:t>
      </w:r>
      <w:r w:rsidR="00612CB2" w:rsidRPr="00A07802">
        <w:rPr>
          <w:b/>
        </w:rPr>
        <w:t>Визначення та оцінка всіх прийнятних альтернативних способів досягнення зазначених цілей, наведення аргументів щодо переваги обраного способу</w:t>
      </w:r>
    </w:p>
    <w:p w14:paraId="60D1E1F5" w14:textId="51EDB16E" w:rsidR="00346C90" w:rsidRPr="0084355C" w:rsidRDefault="007E061B" w:rsidP="00764000">
      <w:pPr>
        <w:widowControl w:val="0"/>
        <w:ind w:firstLine="567"/>
        <w:rPr>
          <w:color w:val="000000" w:themeColor="text1"/>
          <w:lang w:eastAsia="zh-CN"/>
        </w:rPr>
      </w:pPr>
      <w:r w:rsidRPr="0084355C">
        <w:rPr>
          <w:color w:val="000000" w:themeColor="text1"/>
        </w:rPr>
        <w:t xml:space="preserve">Ураховуючи </w:t>
      </w:r>
      <w:r w:rsidR="002D7A29" w:rsidRPr="0084355C">
        <w:rPr>
          <w:color w:val="000000" w:themeColor="text1"/>
        </w:rPr>
        <w:t xml:space="preserve">потребу в унормуванні </w:t>
      </w:r>
      <w:r w:rsidRPr="0084355C">
        <w:rPr>
          <w:color w:val="000000" w:themeColor="text1"/>
        </w:rPr>
        <w:t>питань, пов’язаних із розробленням регуляторного акта, альтернативних способів досягнення встановлених цілей не</w:t>
      </w:r>
      <w:r w:rsidR="003B1199">
        <w:rPr>
          <w:color w:val="000000" w:themeColor="text1"/>
        </w:rPr>
        <w:t>має</w:t>
      </w:r>
      <w:r w:rsidRPr="0084355C">
        <w:rPr>
          <w:color w:val="000000" w:themeColor="text1"/>
        </w:rPr>
        <w:t>.</w:t>
      </w:r>
    </w:p>
    <w:p w14:paraId="210AD723" w14:textId="6EBF87EE" w:rsidR="00C45FFF" w:rsidRDefault="00C45FFF" w:rsidP="001B04BE">
      <w:pPr>
        <w:widowControl w:val="0"/>
        <w:rPr>
          <w:b/>
          <w:color w:val="000000" w:themeColor="text1"/>
          <w:lang w:eastAsia="zh-CN"/>
        </w:rPr>
      </w:pPr>
    </w:p>
    <w:p w14:paraId="6ED65389" w14:textId="4F600F52" w:rsidR="00346C90" w:rsidRPr="0084355C" w:rsidRDefault="00346C90" w:rsidP="00764000">
      <w:pPr>
        <w:widowControl w:val="0"/>
        <w:ind w:firstLine="567"/>
        <w:rPr>
          <w:b/>
          <w:color w:val="000000" w:themeColor="text1"/>
          <w:lang w:eastAsia="zh-CN"/>
        </w:rPr>
      </w:pPr>
      <w:r w:rsidRPr="0084355C">
        <w:rPr>
          <w:b/>
          <w:color w:val="000000" w:themeColor="text1"/>
          <w:lang w:eastAsia="zh-CN"/>
        </w:rPr>
        <w:t xml:space="preserve">ІV. </w:t>
      </w:r>
      <w:r w:rsidR="00612CB2" w:rsidRPr="00894453">
        <w:rPr>
          <w:b/>
        </w:rPr>
        <w:t>Опис механізму, який пропонується застосувати для розв’язання проблеми і відповідні заходи</w:t>
      </w:r>
    </w:p>
    <w:p w14:paraId="3995DED5" w14:textId="0C6F557F" w:rsidR="0089177E" w:rsidRPr="00B6677D" w:rsidRDefault="0089177E" w:rsidP="00764000">
      <w:pPr>
        <w:widowControl w:val="0"/>
        <w:ind w:firstLine="567"/>
      </w:pPr>
      <w:r w:rsidRPr="00C346C5">
        <w:t xml:space="preserve">Затвердження регуляторного акта дасть змогу унормувати </w:t>
      </w:r>
      <w:r w:rsidR="00C346C5" w:rsidRPr="00C346C5">
        <w:rPr>
          <w:rFonts w:eastAsia="Calibri"/>
          <w:color w:val="000000" w:themeColor="text1"/>
          <w:lang w:eastAsia="en-US"/>
        </w:rPr>
        <w:t>порядок</w:t>
      </w:r>
      <w:r w:rsidR="00C346C5" w:rsidRPr="0084355C">
        <w:rPr>
          <w:rFonts w:eastAsia="Calibri"/>
          <w:color w:val="000000" w:themeColor="text1"/>
          <w:lang w:eastAsia="en-US"/>
        </w:rPr>
        <w:t xml:space="preserve"> </w:t>
      </w:r>
      <w:r w:rsidR="00C346C5" w:rsidRPr="008B5EDE">
        <w:lastRenderedPageBreak/>
        <w:t>призначення, здійснення та припинення тимчасової адміністрації страховика</w:t>
      </w:r>
      <w:r w:rsidR="00C346C5">
        <w:t>, кредитної спілки</w:t>
      </w:r>
      <w:r w:rsidR="00C346C5" w:rsidRPr="008B5EDE">
        <w:t xml:space="preserve"> </w:t>
      </w:r>
      <w:r w:rsidR="00C346C5">
        <w:t xml:space="preserve">та </w:t>
      </w:r>
      <w:r w:rsidR="00C346C5" w:rsidRPr="008B5EDE">
        <w:t>прийнят</w:t>
      </w:r>
      <w:r w:rsidR="00C346C5" w:rsidRPr="00B6677D">
        <w:t>тя рішення про дострокове припинення повноважень тимчасового адміністратора</w:t>
      </w:r>
      <w:r w:rsidRPr="00B6677D">
        <w:t xml:space="preserve">. З </w:t>
      </w:r>
      <w:r w:rsidRPr="00B6677D">
        <w:t xml:space="preserve">цією метою регуляторним актом: </w:t>
      </w:r>
    </w:p>
    <w:p w14:paraId="4005CEA7" w14:textId="105C3CF5" w:rsidR="00EC1B31" w:rsidRPr="00B6677D" w:rsidRDefault="00EC1B31" w:rsidP="00764000">
      <w:pPr>
        <w:widowControl w:val="0"/>
        <w:ind w:firstLine="567"/>
      </w:pPr>
      <w:r w:rsidRPr="00B6677D">
        <w:t xml:space="preserve">визначаються </w:t>
      </w:r>
      <w:r w:rsidR="00A87C43">
        <w:t>чинники</w:t>
      </w:r>
      <w:r w:rsidRPr="00B6677D">
        <w:t xml:space="preserve">, </w:t>
      </w:r>
      <w:r w:rsidR="00A87C43">
        <w:t>що</w:t>
      </w:r>
      <w:r w:rsidRPr="00B6677D">
        <w:t xml:space="preserve"> впливають на визначення складу тимчасової адміністрації;</w:t>
      </w:r>
    </w:p>
    <w:p w14:paraId="679906A3" w14:textId="31FFA7D4" w:rsidR="0084600C" w:rsidRPr="00B6677D" w:rsidRDefault="0089177E" w:rsidP="00764000">
      <w:pPr>
        <w:widowControl w:val="0"/>
        <w:ind w:firstLine="567"/>
      </w:pPr>
      <w:r w:rsidRPr="00B6677D">
        <w:t xml:space="preserve">визначається перелік функцій, повноважень та прав тимчасової адміністрації страховика, кредитної спілки, </w:t>
      </w:r>
      <w:r w:rsidR="00A87C43">
        <w:t>потрібних</w:t>
      </w:r>
      <w:r w:rsidRPr="00B6677D">
        <w:t xml:space="preserve"> для </w:t>
      </w:r>
      <w:r w:rsidR="0077387B" w:rsidRPr="00B6677D">
        <w:t xml:space="preserve">забезпечення </w:t>
      </w:r>
      <w:r w:rsidR="0084600C" w:rsidRPr="00B6677D">
        <w:rPr>
          <w:bCs/>
        </w:rPr>
        <w:t>захисту майна, включаючи актив</w:t>
      </w:r>
      <w:r w:rsidR="00A87C43">
        <w:rPr>
          <w:bCs/>
        </w:rPr>
        <w:t>и</w:t>
      </w:r>
      <w:r w:rsidR="0084600C" w:rsidRPr="00B6677D">
        <w:rPr>
          <w:bCs/>
        </w:rPr>
        <w:t>, майн</w:t>
      </w:r>
      <w:r w:rsidR="00A87C43">
        <w:rPr>
          <w:bCs/>
        </w:rPr>
        <w:t>о</w:t>
      </w:r>
      <w:r w:rsidR="0084600C" w:rsidRPr="00B6677D">
        <w:rPr>
          <w:bCs/>
        </w:rPr>
        <w:t xml:space="preserve"> </w:t>
      </w:r>
      <w:r w:rsidR="00A87C43">
        <w:rPr>
          <w:bCs/>
        </w:rPr>
        <w:t>та</w:t>
      </w:r>
      <w:r w:rsidR="0084600C" w:rsidRPr="00B6677D">
        <w:rPr>
          <w:bCs/>
        </w:rPr>
        <w:t xml:space="preserve"> документ</w:t>
      </w:r>
      <w:r w:rsidR="00A87C43">
        <w:rPr>
          <w:bCs/>
        </w:rPr>
        <w:t>и</w:t>
      </w:r>
      <w:r w:rsidR="0084600C" w:rsidRPr="00B6677D">
        <w:rPr>
          <w:bCs/>
        </w:rPr>
        <w:t>, страховика, кредитної спілки;</w:t>
      </w:r>
    </w:p>
    <w:p w14:paraId="41CF3B13" w14:textId="35B797BF" w:rsidR="0089177E" w:rsidRPr="00B6677D" w:rsidRDefault="0089177E" w:rsidP="00764000">
      <w:pPr>
        <w:widowControl w:val="0"/>
        <w:ind w:firstLine="567"/>
      </w:pPr>
      <w:r w:rsidRPr="00B6677D">
        <w:t xml:space="preserve">унормовується </w:t>
      </w:r>
      <w:r w:rsidRPr="00B6677D">
        <w:t xml:space="preserve">питання щодо складання </w:t>
      </w:r>
      <w:r w:rsidR="0077387B" w:rsidRPr="00B6677D">
        <w:t>кошторису витрат</w:t>
      </w:r>
      <w:r w:rsidR="00EC1B31" w:rsidRPr="00B6677D">
        <w:t xml:space="preserve"> тимчасової адміністрації</w:t>
      </w:r>
      <w:r w:rsidRPr="00B6677D">
        <w:t xml:space="preserve">; </w:t>
      </w:r>
    </w:p>
    <w:p w14:paraId="6398E270" w14:textId="1419B38C" w:rsidR="00EC1B31" w:rsidRPr="00B6677D" w:rsidRDefault="00EC1B31" w:rsidP="00764000">
      <w:pPr>
        <w:widowControl w:val="0"/>
        <w:ind w:firstLine="567"/>
      </w:pPr>
      <w:r w:rsidRPr="00B6677D">
        <w:t>передбачається</w:t>
      </w:r>
      <w:r w:rsidRPr="00B6677D">
        <w:rPr>
          <w:rFonts w:ascii="Liberation Serif" w:hAnsi="Liberation Serif" w:cs="Liberation Serif"/>
        </w:rPr>
        <w:t xml:space="preserve"> порядок подання інформації про наявність/відсутність конфлікту інтересів, </w:t>
      </w:r>
      <w:r w:rsidR="00C33524">
        <w:rPr>
          <w:rFonts w:ascii="Liberation Serif" w:hAnsi="Liberation Serif" w:cs="Liberation Serif"/>
        </w:rPr>
        <w:t>в</w:t>
      </w:r>
      <w:r w:rsidRPr="00B6677D">
        <w:rPr>
          <w:rFonts w:ascii="Liberation Serif" w:hAnsi="Liberation Serif" w:cs="Liberation Serif"/>
        </w:rPr>
        <w:t xml:space="preserve"> особи, яка може бути призначеною тимчасовим адміністратором</w:t>
      </w:r>
      <w:r w:rsidR="00C33524">
        <w:rPr>
          <w:rFonts w:ascii="Liberation Serif" w:hAnsi="Liberation Serif" w:cs="Liberation Serif"/>
        </w:rPr>
        <w:t>;</w:t>
      </w:r>
    </w:p>
    <w:p w14:paraId="516ED0A7" w14:textId="5E411612" w:rsidR="0089177E" w:rsidRPr="00B6677D" w:rsidRDefault="00EC1B31" w:rsidP="00764000">
      <w:pPr>
        <w:widowControl w:val="0"/>
        <w:ind w:firstLine="567"/>
      </w:pPr>
      <w:r w:rsidRPr="00B6677D">
        <w:t>урегульовує</w:t>
      </w:r>
      <w:r w:rsidR="0089177E" w:rsidRPr="00B6677D">
        <w:t xml:space="preserve">ться порядок припинення діяльності тимчасової адміністрації та </w:t>
      </w:r>
      <w:r w:rsidRPr="00B6677D">
        <w:t>звітування</w:t>
      </w:r>
      <w:r w:rsidR="0089177E" w:rsidRPr="00B6677D">
        <w:t xml:space="preserve"> про виконання завдань. </w:t>
      </w:r>
    </w:p>
    <w:p w14:paraId="122CDAA0" w14:textId="6CF43B66" w:rsidR="0089177E" w:rsidRPr="00B6677D" w:rsidRDefault="0089177E" w:rsidP="00764000">
      <w:pPr>
        <w:widowControl w:val="0"/>
        <w:ind w:firstLine="567"/>
        <w:rPr>
          <w:color w:val="000000" w:themeColor="text1"/>
        </w:rPr>
      </w:pPr>
      <w:r w:rsidRPr="00B6677D">
        <w:t xml:space="preserve">Регуляторним актом також визначаються строки укладення та порядок оплати договорів страхування </w:t>
      </w:r>
      <w:r w:rsidR="00B6677D" w:rsidRPr="00B6677D">
        <w:t xml:space="preserve">відповідальності </w:t>
      </w:r>
      <w:r w:rsidR="00B344F7">
        <w:t>тимчасового адміністратора</w:t>
      </w:r>
      <w:r w:rsidR="00B6677D" w:rsidRPr="00B6677D">
        <w:t xml:space="preserve"> та від нещасних випадків, що сталися під час здійснення повноважень тимчасового адміністратора</w:t>
      </w:r>
      <w:r w:rsidRPr="00B6677D">
        <w:t>.</w:t>
      </w:r>
      <w:r w:rsidRPr="00B6677D">
        <w:rPr>
          <w:color w:val="000000" w:themeColor="text1"/>
        </w:rPr>
        <w:t xml:space="preserve"> </w:t>
      </w:r>
      <w:r w:rsidR="00B6677D" w:rsidRPr="00B6677D">
        <w:rPr>
          <w:color w:val="000000" w:themeColor="text1"/>
        </w:rPr>
        <w:t xml:space="preserve"> </w:t>
      </w:r>
    </w:p>
    <w:p w14:paraId="70FE1417" w14:textId="77777777" w:rsidR="00346C90" w:rsidRPr="0084355C" w:rsidRDefault="00346C90" w:rsidP="00764000">
      <w:pPr>
        <w:widowControl w:val="0"/>
        <w:ind w:firstLine="567"/>
        <w:rPr>
          <w:color w:val="000000" w:themeColor="text1"/>
          <w:lang w:eastAsia="zh-CN"/>
        </w:rPr>
      </w:pPr>
    </w:p>
    <w:p w14:paraId="5E55B236" w14:textId="6E654CCB" w:rsidR="00346C90" w:rsidRPr="0084355C" w:rsidRDefault="00346C90" w:rsidP="00764000">
      <w:pPr>
        <w:widowControl w:val="0"/>
        <w:ind w:firstLine="567"/>
        <w:rPr>
          <w:rFonts w:eastAsia="Arial Unicode MS"/>
          <w:b/>
          <w:color w:val="000000" w:themeColor="text1"/>
          <w:lang w:eastAsia="zh-CN"/>
        </w:rPr>
      </w:pPr>
      <w:r w:rsidRPr="0084355C">
        <w:rPr>
          <w:rFonts w:eastAsia="Arial Unicode MS"/>
          <w:b/>
          <w:color w:val="000000" w:themeColor="text1"/>
          <w:lang w:eastAsia="zh-CN"/>
        </w:rPr>
        <w:t xml:space="preserve">V. </w:t>
      </w:r>
      <w:r w:rsidR="00281F25" w:rsidRPr="004579FA">
        <w:rPr>
          <w:b/>
        </w:rPr>
        <w:t>Обґрунтування можливості досягнення визначених цілей у разі прийняття регуляторного акта</w:t>
      </w:r>
    </w:p>
    <w:p w14:paraId="774FE489" w14:textId="2D3B05A3" w:rsidR="009E0074" w:rsidRPr="0084355C" w:rsidRDefault="00346C90" w:rsidP="00764000">
      <w:pPr>
        <w:widowControl w:val="0"/>
        <w:ind w:firstLine="567"/>
        <w:rPr>
          <w:color w:val="000000" w:themeColor="text1"/>
        </w:rPr>
      </w:pPr>
      <w:r w:rsidRPr="0084355C">
        <w:rPr>
          <w:color w:val="000000" w:themeColor="text1"/>
        </w:rPr>
        <w:t xml:space="preserve">Вимоги регуляторного акта обов’язкові для </w:t>
      </w:r>
      <w:r w:rsidR="00C94CF0" w:rsidRPr="0084355C">
        <w:rPr>
          <w:color w:val="000000" w:themeColor="text1"/>
        </w:rPr>
        <w:t xml:space="preserve">виконання </w:t>
      </w:r>
      <w:r w:rsidR="001F1468">
        <w:rPr>
          <w:color w:val="000000" w:themeColor="text1"/>
        </w:rPr>
        <w:t>страховика</w:t>
      </w:r>
      <w:r w:rsidR="00EB2AFC">
        <w:rPr>
          <w:color w:val="000000" w:themeColor="text1"/>
        </w:rPr>
        <w:t>ми</w:t>
      </w:r>
      <w:r w:rsidR="001F1468">
        <w:rPr>
          <w:color w:val="000000" w:themeColor="text1"/>
        </w:rPr>
        <w:t xml:space="preserve">, кредитними спілками </w:t>
      </w:r>
      <w:r w:rsidR="001F1468">
        <w:rPr>
          <w:color w:val="000000" w:themeColor="text1"/>
        </w:rPr>
        <w:t xml:space="preserve">та </w:t>
      </w:r>
      <w:r w:rsidR="001F1468">
        <w:t>особами, які виконують функції тимчасової адміністрації</w:t>
      </w:r>
      <w:r w:rsidR="00FD3BF3" w:rsidRPr="0084355C">
        <w:t>.</w:t>
      </w:r>
      <w:r w:rsidRPr="0084355C">
        <w:rPr>
          <w:color w:val="000000" w:themeColor="text1"/>
        </w:rPr>
        <w:t xml:space="preserve"> </w:t>
      </w:r>
    </w:p>
    <w:p w14:paraId="18A2A533" w14:textId="2C745DCD" w:rsidR="00346C90" w:rsidRPr="0084355C" w:rsidRDefault="00346C90" w:rsidP="00764000">
      <w:pPr>
        <w:widowControl w:val="0"/>
        <w:ind w:firstLine="567"/>
        <w:rPr>
          <w:color w:val="000000" w:themeColor="text1"/>
        </w:rPr>
      </w:pPr>
      <w:r w:rsidRPr="0084355C">
        <w:rPr>
          <w:color w:val="000000" w:themeColor="text1"/>
        </w:rPr>
        <w:t xml:space="preserve">Ризик як негативного, так і позитивного впливу зовнішніх </w:t>
      </w:r>
      <w:r w:rsidR="00A87C43">
        <w:rPr>
          <w:color w:val="000000" w:themeColor="text1"/>
        </w:rPr>
        <w:t>чинників</w:t>
      </w:r>
      <w:r w:rsidRPr="0084355C">
        <w:rPr>
          <w:color w:val="000000" w:themeColor="text1"/>
        </w:rPr>
        <w:t xml:space="preserve"> на дію цього регуляторного акта потенційно зумовлюється </w:t>
      </w:r>
      <w:r w:rsidR="00DD3CC8" w:rsidRPr="0084355C">
        <w:rPr>
          <w:color w:val="000000" w:themeColor="text1"/>
        </w:rPr>
        <w:t>переважно</w:t>
      </w:r>
      <w:r w:rsidRPr="0084355C">
        <w:rPr>
          <w:color w:val="000000" w:themeColor="text1"/>
        </w:rPr>
        <w:t xml:space="preserve"> змінами в законодавчих актах України, що може призвести </w:t>
      </w:r>
      <w:r w:rsidRPr="0084355C">
        <w:rPr>
          <w:color w:val="000000" w:themeColor="text1"/>
        </w:rPr>
        <w:t xml:space="preserve">до </w:t>
      </w:r>
      <w:r w:rsidR="007B48C7" w:rsidRPr="0084355C">
        <w:rPr>
          <w:color w:val="000000" w:themeColor="text1"/>
        </w:rPr>
        <w:t xml:space="preserve">потреби в унесенні </w:t>
      </w:r>
      <w:r w:rsidRPr="0084355C">
        <w:rPr>
          <w:color w:val="000000" w:themeColor="text1"/>
        </w:rPr>
        <w:t>змін до регуляторного акта.</w:t>
      </w:r>
    </w:p>
    <w:p w14:paraId="32A8585D" w14:textId="68B3ACF4" w:rsidR="00346C90" w:rsidRPr="0084355C" w:rsidRDefault="00DD3CC8" w:rsidP="00764000">
      <w:pPr>
        <w:widowControl w:val="0"/>
        <w:ind w:firstLine="567"/>
        <w:rPr>
          <w:color w:val="000000" w:themeColor="text1"/>
        </w:rPr>
      </w:pPr>
      <w:r w:rsidRPr="0084355C">
        <w:rPr>
          <w:color w:val="000000" w:themeColor="text1"/>
        </w:rPr>
        <w:t>У</w:t>
      </w:r>
      <w:r w:rsidR="00346C90" w:rsidRPr="0084355C">
        <w:rPr>
          <w:color w:val="000000" w:themeColor="text1"/>
        </w:rPr>
        <w:t xml:space="preserve">провадження вимог такого регуляторного акта не потребує додаткових витрат Національного банку, </w:t>
      </w:r>
      <w:r w:rsidR="002566B7" w:rsidRPr="0084355C">
        <w:rPr>
          <w:color w:val="000000" w:themeColor="text1"/>
        </w:rPr>
        <w:t>оскільки</w:t>
      </w:r>
      <w:r w:rsidR="00346C90" w:rsidRPr="0084355C">
        <w:rPr>
          <w:color w:val="000000" w:themeColor="text1"/>
        </w:rPr>
        <w:t xml:space="preserve"> здійснюється в межах його повноважень.</w:t>
      </w:r>
    </w:p>
    <w:p w14:paraId="7EB8B53B" w14:textId="77777777" w:rsidR="00243F75" w:rsidRPr="0084355C" w:rsidRDefault="00243F75" w:rsidP="00764000">
      <w:pPr>
        <w:widowControl w:val="0"/>
        <w:ind w:firstLine="567"/>
        <w:rPr>
          <w:b/>
          <w:color w:val="000000" w:themeColor="text1"/>
          <w:lang w:eastAsia="zh-CN"/>
        </w:rPr>
      </w:pPr>
    </w:p>
    <w:p w14:paraId="388985E7" w14:textId="02455FFF" w:rsidR="00346C90" w:rsidRPr="0084355C" w:rsidRDefault="00346C90" w:rsidP="00764000">
      <w:pPr>
        <w:widowControl w:val="0"/>
        <w:ind w:firstLine="567"/>
        <w:rPr>
          <w:b/>
          <w:color w:val="000000" w:themeColor="text1"/>
          <w:lang w:eastAsia="zh-CN"/>
        </w:rPr>
      </w:pPr>
      <w:r w:rsidRPr="0084355C">
        <w:rPr>
          <w:b/>
          <w:color w:val="000000" w:themeColor="text1"/>
          <w:lang w:eastAsia="zh-CN"/>
        </w:rPr>
        <w:t xml:space="preserve">VI. </w:t>
      </w:r>
      <w:r w:rsidR="00281F25" w:rsidRPr="00EC2E6A">
        <w:rPr>
          <w:b/>
        </w:rPr>
        <w:t>Визначення очікуваних результатів прийняття акта</w:t>
      </w:r>
    </w:p>
    <w:p w14:paraId="52595E51" w14:textId="0357BCB3" w:rsidR="000146A4" w:rsidRPr="00C13FA1" w:rsidRDefault="000146A4" w:rsidP="00764000">
      <w:pPr>
        <w:widowControl w:val="0"/>
        <w:tabs>
          <w:tab w:val="left" w:pos="1512"/>
        </w:tabs>
        <w:ind w:firstLine="567"/>
        <w:rPr>
          <w:color w:val="000000" w:themeColor="text1"/>
          <w:lang w:eastAsia="ru-RU"/>
        </w:rPr>
      </w:pPr>
      <w:r w:rsidRPr="00C13FA1">
        <w:t>Прийняття регуляторного акта дасть змогу запровадити механізм реалізації наданих Національному банку повноважень щодо призначення тимчасової адміністрації.</w:t>
      </w:r>
    </w:p>
    <w:p w14:paraId="1A583ACB" w14:textId="3D326C18" w:rsidR="004E1C7D" w:rsidRPr="00C13FA1" w:rsidRDefault="00346C90" w:rsidP="00764000">
      <w:pPr>
        <w:ind w:firstLine="567"/>
        <w:rPr>
          <w:color w:val="000000" w:themeColor="text1"/>
          <w:lang w:eastAsia="ru-RU"/>
        </w:rPr>
      </w:pPr>
      <w:r w:rsidRPr="00C13FA1">
        <w:rPr>
          <w:color w:val="000000" w:themeColor="text1"/>
          <w:lang w:eastAsia="ru-RU"/>
        </w:rPr>
        <w:t xml:space="preserve">За результатами </w:t>
      </w:r>
      <w:r w:rsidR="004E1C7D" w:rsidRPr="00C13FA1">
        <w:rPr>
          <w:color w:val="000000" w:themeColor="text1"/>
          <w:lang w:eastAsia="ru-RU"/>
        </w:rPr>
        <w:t xml:space="preserve">визначення </w:t>
      </w:r>
      <w:r w:rsidRPr="00C13FA1">
        <w:rPr>
          <w:color w:val="000000" w:themeColor="text1"/>
          <w:lang w:eastAsia="ru-RU"/>
        </w:rPr>
        <w:t>очікуваних результаті</w:t>
      </w:r>
      <w:r w:rsidR="00E11C93" w:rsidRPr="00C13FA1">
        <w:rPr>
          <w:color w:val="000000" w:themeColor="text1"/>
          <w:lang w:eastAsia="ru-RU"/>
        </w:rPr>
        <w:t xml:space="preserve">в прийняття регуляторного акта </w:t>
      </w:r>
      <w:r w:rsidR="004E1C7D" w:rsidRPr="00C13FA1">
        <w:rPr>
          <w:color w:val="000000" w:themeColor="text1"/>
          <w:lang w:eastAsia="ru-RU"/>
        </w:rPr>
        <w:t xml:space="preserve">протягом </w:t>
      </w:r>
      <w:r w:rsidR="00380FB0" w:rsidRPr="00C13FA1">
        <w:rPr>
          <w:color w:val="000000" w:themeColor="text1"/>
          <w:lang w:eastAsia="ru-RU"/>
        </w:rPr>
        <w:t xml:space="preserve">усього </w:t>
      </w:r>
      <w:r w:rsidR="004E1C7D" w:rsidRPr="00C13FA1">
        <w:rPr>
          <w:color w:val="000000" w:themeColor="text1"/>
          <w:lang w:eastAsia="ru-RU"/>
        </w:rPr>
        <w:t xml:space="preserve">строку його дії </w:t>
      </w:r>
      <w:r w:rsidRPr="00C13FA1">
        <w:rPr>
          <w:color w:val="000000" w:themeColor="text1"/>
          <w:lang w:eastAsia="ru-RU"/>
        </w:rPr>
        <w:t xml:space="preserve">можна </w:t>
      </w:r>
      <w:r w:rsidR="00653E36" w:rsidRPr="00C13FA1">
        <w:rPr>
          <w:color w:val="000000" w:themeColor="text1"/>
          <w:lang w:eastAsia="ru-RU"/>
        </w:rPr>
        <w:t xml:space="preserve">констатувати, що </w:t>
      </w:r>
      <w:r w:rsidR="004E1C7D" w:rsidRPr="00C13FA1">
        <w:rPr>
          <w:lang w:eastAsia="zh-CN"/>
        </w:rPr>
        <w:t xml:space="preserve"> </w:t>
      </w:r>
      <w:r w:rsidR="00653E36" w:rsidRPr="00C13FA1">
        <w:rPr>
          <w:lang w:eastAsia="zh-CN"/>
        </w:rPr>
        <w:t xml:space="preserve">його прийняття не призведе до додаткових </w:t>
      </w:r>
      <w:r w:rsidR="00735FD3" w:rsidRPr="00C13FA1">
        <w:rPr>
          <w:lang w:eastAsia="zh-CN"/>
        </w:rPr>
        <w:t>витрат</w:t>
      </w:r>
      <w:r w:rsidR="003914DE" w:rsidRPr="00C13FA1">
        <w:rPr>
          <w:lang w:eastAsia="zh-CN"/>
        </w:rPr>
        <w:t xml:space="preserve"> </w:t>
      </w:r>
      <w:r w:rsidR="008E5EEE" w:rsidRPr="00C13FA1">
        <w:rPr>
          <w:lang w:eastAsia="zh-CN"/>
        </w:rPr>
        <w:t>страховиків, кредитних спілок</w:t>
      </w:r>
      <w:r w:rsidR="00FD613B" w:rsidRPr="00C13FA1">
        <w:t>,</w:t>
      </w:r>
      <w:r w:rsidR="003914DE" w:rsidRPr="00C13FA1">
        <w:rPr>
          <w:lang w:eastAsia="zh-CN"/>
        </w:rPr>
        <w:t xml:space="preserve"> </w:t>
      </w:r>
      <w:r w:rsidR="00653E36" w:rsidRPr="00C13FA1">
        <w:rPr>
          <w:lang w:eastAsia="zh-CN"/>
        </w:rPr>
        <w:t xml:space="preserve">зокрема й пов’язаних </w:t>
      </w:r>
      <w:r w:rsidR="00735FD3" w:rsidRPr="00C13FA1">
        <w:rPr>
          <w:lang w:eastAsia="zh-CN"/>
        </w:rPr>
        <w:t xml:space="preserve">з </w:t>
      </w:r>
      <w:r w:rsidR="00380FB0" w:rsidRPr="00C13FA1">
        <w:rPr>
          <w:lang w:eastAsia="zh-CN"/>
        </w:rPr>
        <w:t xml:space="preserve">потребою </w:t>
      </w:r>
      <w:r w:rsidR="003D32C4" w:rsidRPr="00C13FA1">
        <w:rPr>
          <w:lang w:eastAsia="zh-CN"/>
        </w:rPr>
        <w:t xml:space="preserve">зміни </w:t>
      </w:r>
      <w:r w:rsidR="00E770FF">
        <w:rPr>
          <w:lang w:eastAsia="zh-CN"/>
        </w:rPr>
        <w:t>наявних</w:t>
      </w:r>
      <w:r w:rsidR="003D32C4" w:rsidRPr="00C13FA1">
        <w:rPr>
          <w:lang w:eastAsia="zh-CN"/>
        </w:rPr>
        <w:t xml:space="preserve"> процесів</w:t>
      </w:r>
      <w:r w:rsidR="004E1C7D" w:rsidRPr="00C13FA1">
        <w:rPr>
          <w:color w:val="000000" w:themeColor="text1"/>
          <w:lang w:eastAsia="en-US"/>
        </w:rPr>
        <w:t>.</w:t>
      </w:r>
    </w:p>
    <w:p w14:paraId="51EB21C2" w14:textId="0A299D38" w:rsidR="00346C90" w:rsidRPr="00C13FA1" w:rsidRDefault="00ED5CB5" w:rsidP="00764000">
      <w:pPr>
        <w:widowControl w:val="0"/>
        <w:tabs>
          <w:tab w:val="left" w:pos="1512"/>
        </w:tabs>
        <w:ind w:firstLine="567"/>
        <w:rPr>
          <w:color w:val="000000" w:themeColor="text1"/>
          <w:lang w:eastAsia="ru-RU"/>
        </w:rPr>
      </w:pPr>
      <w:r w:rsidRPr="00C13FA1">
        <w:rPr>
          <w:color w:val="000000" w:themeColor="text1"/>
          <w:lang w:eastAsia="ru-RU"/>
        </w:rPr>
        <w:t>Отже</w:t>
      </w:r>
      <w:r w:rsidR="00E85B84" w:rsidRPr="00C13FA1">
        <w:rPr>
          <w:color w:val="000000" w:themeColor="text1"/>
          <w:lang w:eastAsia="ru-RU"/>
        </w:rPr>
        <w:t xml:space="preserve">, </w:t>
      </w:r>
      <w:r w:rsidR="00FA6374" w:rsidRPr="00C13FA1">
        <w:rPr>
          <w:color w:val="000000" w:themeColor="text1"/>
          <w:lang w:eastAsia="ru-RU"/>
        </w:rPr>
        <w:t>очікуван</w:t>
      </w:r>
      <w:r w:rsidR="00E85B84" w:rsidRPr="00C13FA1">
        <w:rPr>
          <w:color w:val="000000" w:themeColor="text1"/>
          <w:lang w:eastAsia="ru-RU"/>
        </w:rPr>
        <w:t>і результати</w:t>
      </w:r>
      <w:r w:rsidR="00FA6374" w:rsidRPr="00C13FA1">
        <w:rPr>
          <w:color w:val="000000" w:themeColor="text1"/>
          <w:lang w:eastAsia="ru-RU"/>
        </w:rPr>
        <w:t xml:space="preserve"> прийняття регуляторного </w:t>
      </w:r>
      <w:r w:rsidR="00FA6374" w:rsidRPr="00C13FA1">
        <w:rPr>
          <w:color w:val="000000" w:themeColor="text1"/>
          <w:lang w:eastAsia="ru-RU"/>
        </w:rPr>
        <w:t xml:space="preserve">акта </w:t>
      </w:r>
      <w:r w:rsidR="00E85B84" w:rsidRPr="00C13FA1">
        <w:rPr>
          <w:color w:val="000000" w:themeColor="text1"/>
          <w:lang w:eastAsia="ru-RU"/>
        </w:rPr>
        <w:t>сукупно мати</w:t>
      </w:r>
      <w:r w:rsidRPr="00C13FA1">
        <w:rPr>
          <w:color w:val="000000" w:themeColor="text1"/>
          <w:lang w:eastAsia="ru-RU"/>
        </w:rPr>
        <w:t>муть</w:t>
      </w:r>
      <w:r w:rsidR="00E85B84" w:rsidRPr="00C13FA1">
        <w:rPr>
          <w:color w:val="000000" w:themeColor="text1"/>
          <w:lang w:eastAsia="ru-RU"/>
        </w:rPr>
        <w:t xml:space="preserve"> позитивні наслідки для </w:t>
      </w:r>
      <w:r w:rsidR="00380FB0" w:rsidRPr="00C13FA1">
        <w:rPr>
          <w:color w:val="000000" w:themeColor="text1"/>
          <w:lang w:eastAsia="ru-RU"/>
        </w:rPr>
        <w:t xml:space="preserve">всіх </w:t>
      </w:r>
      <w:r w:rsidR="00E85B84" w:rsidRPr="00C13FA1">
        <w:rPr>
          <w:color w:val="000000" w:themeColor="text1"/>
          <w:lang w:eastAsia="ru-RU"/>
        </w:rPr>
        <w:t>суб’єктів, на як</w:t>
      </w:r>
      <w:r w:rsidR="009C7504" w:rsidRPr="00C13FA1">
        <w:rPr>
          <w:color w:val="000000" w:themeColor="text1"/>
          <w:lang w:eastAsia="ru-RU"/>
        </w:rPr>
        <w:t>і</w:t>
      </w:r>
      <w:r w:rsidR="00E85B84" w:rsidRPr="00C13FA1">
        <w:rPr>
          <w:color w:val="000000" w:themeColor="text1"/>
          <w:lang w:eastAsia="ru-RU"/>
        </w:rPr>
        <w:t xml:space="preserve"> поширюється дія </w:t>
      </w:r>
      <w:r w:rsidR="00E85B84" w:rsidRPr="00C13FA1">
        <w:rPr>
          <w:color w:val="000000" w:themeColor="text1"/>
          <w:lang w:eastAsia="ru-RU"/>
        </w:rPr>
        <w:lastRenderedPageBreak/>
        <w:t>регуляторного акта</w:t>
      </w:r>
      <w:r w:rsidR="003105A0" w:rsidRPr="00C13FA1">
        <w:rPr>
          <w:color w:val="000000" w:themeColor="text1"/>
          <w:lang w:eastAsia="ru-RU"/>
        </w:rPr>
        <w:t>.</w:t>
      </w:r>
    </w:p>
    <w:p w14:paraId="79812C35" w14:textId="576F69E1" w:rsidR="007F574C" w:rsidRPr="007F574C" w:rsidRDefault="007F574C" w:rsidP="00764000">
      <w:pPr>
        <w:widowControl w:val="0"/>
        <w:tabs>
          <w:tab w:val="left" w:pos="1512"/>
        </w:tabs>
        <w:ind w:firstLine="567"/>
        <w:rPr>
          <w:color w:val="000000" w:themeColor="text1"/>
          <w:highlight w:val="yellow"/>
          <w:lang w:eastAsia="ru-RU"/>
        </w:rPr>
      </w:pPr>
    </w:p>
    <w:p w14:paraId="74FF85EB" w14:textId="4AD15F2A" w:rsidR="00EE38AF" w:rsidRPr="00EE38AF" w:rsidRDefault="00346C90" w:rsidP="00764000">
      <w:pPr>
        <w:ind w:firstLine="567"/>
        <w:rPr>
          <w:b/>
        </w:rPr>
      </w:pPr>
      <w:r w:rsidRPr="00EE38AF">
        <w:rPr>
          <w:b/>
          <w:color w:val="000000" w:themeColor="text1"/>
          <w:lang w:eastAsia="zh-CN"/>
        </w:rPr>
        <w:t xml:space="preserve">VII. </w:t>
      </w:r>
      <w:r w:rsidR="00EE38AF" w:rsidRPr="00EE38AF">
        <w:rPr>
          <w:b/>
        </w:rPr>
        <w:t>Обґрунтування запропонованого строку дії акта</w:t>
      </w:r>
    </w:p>
    <w:p w14:paraId="18804AE9" w14:textId="16AA2F49" w:rsidR="00EE38AF" w:rsidRDefault="00EE38AF" w:rsidP="00764000">
      <w:pPr>
        <w:ind w:firstLine="567"/>
      </w:pPr>
      <w:r>
        <w:t>Ураховуючи специфіку запропонованого проєкту постанови, він не містить кінцевого строку дії.</w:t>
      </w:r>
    </w:p>
    <w:p w14:paraId="19E4BB0B" w14:textId="77777777" w:rsidR="00EE38AF" w:rsidRDefault="00EE38AF" w:rsidP="00764000">
      <w:pPr>
        <w:ind w:firstLine="567"/>
        <w:rPr>
          <w:b/>
          <w:color w:val="000000" w:themeColor="text1"/>
          <w:lang w:eastAsia="zh-CN"/>
        </w:rPr>
      </w:pPr>
    </w:p>
    <w:p w14:paraId="3D40F879" w14:textId="5AA0A4E0" w:rsidR="00346C90" w:rsidRPr="0084355C" w:rsidRDefault="00EE38AF" w:rsidP="00764000">
      <w:pPr>
        <w:ind w:firstLine="567"/>
        <w:rPr>
          <w:b/>
          <w:color w:val="000000" w:themeColor="text1"/>
          <w:lang w:eastAsia="zh-CN"/>
        </w:rPr>
      </w:pPr>
      <w:r w:rsidRPr="0084355C">
        <w:rPr>
          <w:b/>
          <w:color w:val="000000" w:themeColor="text1"/>
          <w:lang w:eastAsia="zh-CN"/>
        </w:rPr>
        <w:t>VII</w:t>
      </w:r>
      <w:r>
        <w:rPr>
          <w:b/>
          <w:color w:val="000000" w:themeColor="text1"/>
          <w:lang w:val="en-US" w:eastAsia="zh-CN"/>
        </w:rPr>
        <w:t>I</w:t>
      </w:r>
      <w:r w:rsidRPr="0084355C">
        <w:rPr>
          <w:b/>
          <w:color w:val="000000" w:themeColor="text1"/>
          <w:lang w:eastAsia="zh-CN"/>
        </w:rPr>
        <w:t>.</w:t>
      </w:r>
      <w:r w:rsidR="00090468" w:rsidRPr="00050BB6">
        <w:rPr>
          <w:b/>
        </w:rPr>
        <w:t>Визначення показників результативності акта</w:t>
      </w:r>
    </w:p>
    <w:p w14:paraId="70BA9AC1" w14:textId="349112B9" w:rsidR="00E7022D" w:rsidRPr="00143369" w:rsidRDefault="00143369" w:rsidP="00143369">
      <w:pPr>
        <w:ind w:firstLine="567"/>
        <w:rPr>
          <w:lang w:eastAsia="ru-RU"/>
        </w:rPr>
      </w:pPr>
      <w:r>
        <w:rPr>
          <w:lang w:eastAsia="ru-RU"/>
        </w:rPr>
        <w:t>Одним із показників</w:t>
      </w:r>
      <w:r w:rsidR="00E7022D" w:rsidRPr="00870E6A">
        <w:rPr>
          <w:lang w:eastAsia="ru-RU"/>
        </w:rPr>
        <w:t xml:space="preserve"> результативності регуляторного акта є</w:t>
      </w:r>
      <w:bookmarkStart w:id="2" w:name="o57"/>
      <w:bookmarkStart w:id="3" w:name="o60"/>
      <w:bookmarkStart w:id="4" w:name="o62"/>
      <w:bookmarkEnd w:id="2"/>
      <w:bookmarkEnd w:id="3"/>
      <w:bookmarkEnd w:id="4"/>
      <w:r>
        <w:rPr>
          <w:lang w:eastAsia="ru-RU"/>
        </w:rPr>
        <w:t xml:space="preserve"> </w:t>
      </w:r>
      <w:r w:rsidR="00E7022D" w:rsidRPr="00870E6A">
        <w:rPr>
          <w:lang w:eastAsia="ru-RU"/>
        </w:rPr>
        <w:t>кількість суб’єктів господарювання та/або фізичних осіб, на яких поширюватиметься дія акта.</w:t>
      </w:r>
      <w:r>
        <w:rPr>
          <w:lang w:eastAsia="ru-RU"/>
        </w:rPr>
        <w:t xml:space="preserve"> </w:t>
      </w:r>
    </w:p>
    <w:p w14:paraId="2C82FD3F" w14:textId="1A0D5B4A" w:rsidR="00E56113" w:rsidRPr="00090468" w:rsidRDefault="00E56113" w:rsidP="00764000">
      <w:pPr>
        <w:ind w:firstLine="567"/>
      </w:pPr>
      <w:r>
        <w:t xml:space="preserve">Дія регуляторного акта </w:t>
      </w:r>
      <w:r>
        <w:t xml:space="preserve">поширюватиметься на страховиків, кредитних спілок, </w:t>
      </w:r>
      <w:r w:rsidR="00913186" w:rsidRPr="00090468">
        <w:t>керівництво яких відсторонено</w:t>
      </w:r>
      <w:r w:rsidRPr="00090468">
        <w:t xml:space="preserve"> від управління та</w:t>
      </w:r>
      <w:r w:rsidR="00EF68B0" w:rsidRPr="00090468">
        <w:t xml:space="preserve"> </w:t>
      </w:r>
      <w:r w:rsidR="00E770FF">
        <w:t>в</w:t>
      </w:r>
      <w:r w:rsidR="00EF68B0" w:rsidRPr="00090468">
        <w:t xml:space="preserve"> яких</w:t>
      </w:r>
      <w:r w:rsidRPr="00090468">
        <w:t xml:space="preserve"> </w:t>
      </w:r>
      <w:r w:rsidR="00EF68B0" w:rsidRPr="00090468">
        <w:t>призначено тимчасову</w:t>
      </w:r>
      <w:r w:rsidRPr="00090468">
        <w:t xml:space="preserve"> адміністраці</w:t>
      </w:r>
      <w:r w:rsidR="00EF68B0" w:rsidRPr="00090468">
        <w:t>ю</w:t>
      </w:r>
      <w:r w:rsidRPr="00090468">
        <w:t>, а також осіб, які виконують функції тимчасової адміністрації таких установ.</w:t>
      </w:r>
      <w:r w:rsidR="00143369">
        <w:t xml:space="preserve"> </w:t>
      </w:r>
    </w:p>
    <w:p w14:paraId="41A18F89" w14:textId="1FB53B5F" w:rsidR="005D498D" w:rsidRPr="00870E6A" w:rsidRDefault="005D498D" w:rsidP="005D498D">
      <w:pPr>
        <w:ind w:firstLine="567"/>
      </w:pPr>
      <w:r w:rsidRPr="00090468">
        <w:rPr>
          <w:lang w:eastAsia="ru-RU"/>
        </w:rPr>
        <w:t xml:space="preserve">Станом на 01 </w:t>
      </w:r>
      <w:r w:rsidR="00F37A62">
        <w:rPr>
          <w:lang w:eastAsia="ru-RU"/>
        </w:rPr>
        <w:t>вересня</w:t>
      </w:r>
      <w:r w:rsidRPr="00090468">
        <w:rPr>
          <w:lang w:eastAsia="ru-RU"/>
        </w:rPr>
        <w:t xml:space="preserve"> 2023 року діяльність на ринку небанківських фінансових послуг здійснювали</w:t>
      </w:r>
      <w:r w:rsidR="00F37A62">
        <w:t xml:space="preserve"> 113</w:t>
      </w:r>
      <w:r w:rsidRPr="00090468">
        <w:t xml:space="preserve"> страхови</w:t>
      </w:r>
      <w:r w:rsidRPr="00090468">
        <w:t xml:space="preserve">ків (без </w:t>
      </w:r>
      <w:r w:rsidR="001177D8" w:rsidRPr="00090468">
        <w:t>Експортно-кредитного агентства</w:t>
      </w:r>
      <w:r w:rsidR="00F37A62">
        <w:t>) та 146</w:t>
      </w:r>
      <w:r w:rsidRPr="00090468">
        <w:t xml:space="preserve"> кредитних спілок.</w:t>
      </w:r>
      <w:r w:rsidRPr="00870E6A">
        <w:t xml:space="preserve"> </w:t>
      </w:r>
      <w:r w:rsidR="00E7022D">
        <w:t xml:space="preserve"> </w:t>
      </w:r>
    </w:p>
    <w:p w14:paraId="7529CC8A" w14:textId="31F5807F" w:rsidR="008453B8" w:rsidRDefault="008453B8" w:rsidP="00764000">
      <w:pPr>
        <w:ind w:firstLine="567"/>
      </w:pPr>
      <w:r>
        <w:t xml:space="preserve">У ролі показників результативності регуляторного акта планується використовувати й аналізувати </w:t>
      </w:r>
      <w:r w:rsidR="00E7022D">
        <w:t xml:space="preserve">також </w:t>
      </w:r>
      <w:r>
        <w:t xml:space="preserve">практику застосування вимог </w:t>
      </w:r>
      <w:r w:rsidR="004C2315">
        <w:t>регуляторного акта</w:t>
      </w:r>
      <w:r>
        <w:t xml:space="preserve">, беручи до уваги звернення, запити, пропозиції, набутий практичний </w:t>
      </w:r>
      <w:r>
        <w:t xml:space="preserve">досвід Національного банку, страховиків, кредитних спілок, на яких поширюватиметься дія </w:t>
      </w:r>
      <w:r w:rsidR="004C2315">
        <w:t>регуляторного акта</w:t>
      </w:r>
      <w:r>
        <w:t xml:space="preserve">, призначених Національним банком тимчасових адміністраторів, а також відповідні публікації в засобах масової інформації. </w:t>
      </w:r>
    </w:p>
    <w:p w14:paraId="02178B74" w14:textId="2190C937" w:rsidR="008453B8" w:rsidRDefault="008453B8" w:rsidP="00764000">
      <w:pPr>
        <w:ind w:firstLine="567"/>
      </w:pPr>
      <w:r>
        <w:t xml:space="preserve">Водночас ураховуючи специфіку </w:t>
      </w:r>
      <w:r>
        <w:t xml:space="preserve">запропонованого </w:t>
      </w:r>
      <w:r w:rsidR="000F49CC">
        <w:t>регуляторного акта</w:t>
      </w:r>
      <w:r>
        <w:t xml:space="preserve">, надати чіткий перелік прогнозних значень показників результативності регуляторного акта не вбачається можливим. </w:t>
      </w:r>
    </w:p>
    <w:p w14:paraId="238B371E" w14:textId="77777777" w:rsidR="004859F3" w:rsidRPr="0084355C" w:rsidRDefault="004859F3" w:rsidP="00764000">
      <w:pPr>
        <w:shd w:val="clear" w:color="auto" w:fill="FFFFFF"/>
        <w:ind w:firstLine="567"/>
        <w:rPr>
          <w:color w:val="000000" w:themeColor="text1"/>
          <w:lang w:eastAsia="ru-RU"/>
        </w:rPr>
      </w:pPr>
      <w:bookmarkStart w:id="5" w:name="o36"/>
      <w:bookmarkEnd w:id="5"/>
    </w:p>
    <w:p w14:paraId="3C4D5B54" w14:textId="23C5573E" w:rsidR="00346C90" w:rsidRPr="0084355C" w:rsidRDefault="00564CFD" w:rsidP="00764000">
      <w:pPr>
        <w:tabs>
          <w:tab w:val="left" w:pos="1147"/>
        </w:tabs>
        <w:ind w:firstLine="567"/>
        <w:rPr>
          <w:b/>
          <w:color w:val="000000" w:themeColor="text1"/>
          <w:lang w:eastAsia="zh-CN"/>
        </w:rPr>
      </w:pPr>
      <w:bookmarkStart w:id="6" w:name="o63"/>
      <w:bookmarkEnd w:id="6"/>
      <w:r>
        <w:rPr>
          <w:b/>
          <w:color w:val="000000" w:themeColor="text1"/>
          <w:lang w:val="en-US" w:eastAsia="zh-CN"/>
        </w:rPr>
        <w:t>IX</w:t>
      </w:r>
      <w:r w:rsidR="00346C90" w:rsidRPr="0084355C">
        <w:rPr>
          <w:b/>
          <w:color w:val="000000" w:themeColor="text1"/>
          <w:lang w:eastAsia="zh-CN"/>
        </w:rPr>
        <w:t xml:space="preserve">. </w:t>
      </w:r>
      <w:r w:rsidR="00570F4F" w:rsidRPr="00B47658">
        <w:rPr>
          <w:b/>
        </w:rPr>
        <w:t>Визначення заходів, з допомогою яких буде здійснюватися відстеження результативності акта</w:t>
      </w:r>
    </w:p>
    <w:p w14:paraId="74B1257D" w14:textId="77777777" w:rsidR="00B6258F" w:rsidRPr="00870E6A" w:rsidRDefault="00B6258F" w:rsidP="00B6258F">
      <w:pPr>
        <w:ind w:firstLine="567"/>
        <w:rPr>
          <w:lang w:eastAsia="zh-CN"/>
        </w:rPr>
      </w:pPr>
      <w:r w:rsidRPr="00870E6A">
        <w:rPr>
          <w:lang w:eastAsia="zh-CN"/>
        </w:rPr>
        <w:t>Відповідно до статей 3,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вимог Методики відстеження результативності регуляторного акта Національного банку, затвердженої постановою Кабінету Міністрів України і Національного банку України від 14 квітня 2004 року № 471</w:t>
      </w:r>
      <w:r>
        <w:rPr>
          <w:lang w:eastAsia="zh-CN"/>
        </w:rPr>
        <w:t xml:space="preserve"> (зі змінами)</w:t>
      </w:r>
      <w:r w:rsidRPr="00870E6A">
        <w:rPr>
          <w:lang w:eastAsia="zh-CN"/>
        </w:rPr>
        <w:t>.</w:t>
      </w:r>
    </w:p>
    <w:p w14:paraId="4AF828CA" w14:textId="77777777" w:rsidR="00B6258F" w:rsidRPr="00870E6A" w:rsidRDefault="00B6258F" w:rsidP="00B6258F">
      <w:pPr>
        <w:ind w:firstLine="567"/>
        <w:rPr>
          <w:lang w:eastAsia="zh-CN"/>
        </w:rPr>
      </w:pPr>
      <w:bookmarkStart w:id="7" w:name="_Hlk528784927"/>
      <w:r w:rsidRPr="00870E6A">
        <w:rPr>
          <w:lang w:eastAsia="zh-CN"/>
        </w:rPr>
        <w:t>Відстеження результативності регуляторного акта проводитиметься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акта.</w:t>
      </w:r>
    </w:p>
    <w:bookmarkEnd w:id="7"/>
    <w:p w14:paraId="2D41BB4E" w14:textId="77777777" w:rsidR="00B6258F" w:rsidRPr="00870E6A" w:rsidRDefault="00B6258F" w:rsidP="00B6258F">
      <w:pPr>
        <w:ind w:firstLine="567"/>
        <w:rPr>
          <w:lang w:eastAsia="zh-CN"/>
        </w:rPr>
      </w:pPr>
      <w:r w:rsidRPr="00870E6A">
        <w:rPr>
          <w:lang w:eastAsia="zh-CN"/>
        </w:rPr>
        <w:lastRenderedPageBreak/>
        <w:t xml:space="preserve">Базове відстеження результативності регуляторного акта здійснюватиметься протягом </w:t>
      </w:r>
      <w:r>
        <w:rPr>
          <w:lang w:eastAsia="zh-CN"/>
        </w:rPr>
        <w:t xml:space="preserve">одного </w:t>
      </w:r>
      <w:r w:rsidRPr="00870E6A">
        <w:rPr>
          <w:lang w:eastAsia="zh-CN"/>
        </w:rPr>
        <w:t>року з дня набрання ним чинності.</w:t>
      </w:r>
    </w:p>
    <w:p w14:paraId="4DBB64B8" w14:textId="77777777" w:rsidR="00B6258F" w:rsidRPr="00870E6A" w:rsidRDefault="00B6258F" w:rsidP="00B6258F">
      <w:pPr>
        <w:ind w:firstLine="567"/>
        <w:rPr>
          <w:lang w:eastAsia="zh-CN"/>
        </w:rPr>
      </w:pPr>
      <w:r w:rsidRPr="00870E6A">
        <w:rPr>
          <w:lang w:eastAsia="zh-CN"/>
        </w:rPr>
        <w:t xml:space="preserve">Повторне відстеження результативності регуляторного акта </w:t>
      </w:r>
      <w:r w:rsidRPr="00870E6A">
        <w:rPr>
          <w:lang w:eastAsia="zh-CN"/>
        </w:rPr>
        <w:t>проводитиметься не пізніше двох років із дня набрання ним чинності.</w:t>
      </w:r>
    </w:p>
    <w:p w14:paraId="2913C854" w14:textId="2E9197BE" w:rsidR="00B6258F" w:rsidRPr="00870E6A" w:rsidRDefault="00B6258F" w:rsidP="00B6258F">
      <w:pPr>
        <w:ind w:firstLine="567"/>
        <w:rPr>
          <w:lang w:eastAsia="zh-CN"/>
        </w:rPr>
      </w:pPr>
      <w:r w:rsidRPr="00870E6A">
        <w:rPr>
          <w:lang w:eastAsia="zh-CN"/>
        </w:rPr>
        <w:t>Періодичне відстеження результативності регуляторного акта здійснюватиметься один раз на кожні три роки починаючи з дня закінчення заходів із повторного відстеження його результативності.</w:t>
      </w:r>
    </w:p>
    <w:p w14:paraId="76F8FE0D" w14:textId="77777777" w:rsidR="00B6258F" w:rsidRPr="00870E6A" w:rsidRDefault="00B6258F" w:rsidP="00B6258F">
      <w:pPr>
        <w:ind w:firstLine="567"/>
        <w:rPr>
          <w:lang w:eastAsia="zh-CN"/>
        </w:rPr>
      </w:pPr>
      <w:r w:rsidRPr="00870E6A">
        <w:rPr>
          <w:lang w:eastAsia="zh-CN"/>
        </w:rP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 Інтернет-представництва Національного банку.</w:t>
      </w:r>
    </w:p>
    <w:p w14:paraId="2BAFA9F1" w14:textId="77777777" w:rsidR="00A643A4" w:rsidRPr="0084355C" w:rsidRDefault="00A643A4" w:rsidP="00764000">
      <w:pPr>
        <w:tabs>
          <w:tab w:val="left" w:pos="7088"/>
        </w:tabs>
        <w:ind w:firstLine="567"/>
        <w:rPr>
          <w:color w:val="000000" w:themeColor="text1"/>
        </w:rPr>
      </w:pPr>
    </w:p>
    <w:p w14:paraId="2BAFA9F4" w14:textId="77777777" w:rsidR="00A643A4" w:rsidRPr="0084355C" w:rsidRDefault="00A643A4" w:rsidP="00764000">
      <w:pPr>
        <w:spacing w:before="240" w:after="240"/>
        <w:ind w:firstLine="567"/>
        <w:rPr>
          <w:color w:val="000000" w:themeColor="text1"/>
        </w:rPr>
      </w:pPr>
    </w:p>
    <w:tbl>
      <w:tblPr>
        <w:tblStyle w:val="a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25"/>
      </w:tblGrid>
      <w:tr w:rsidR="00DD60CC" w:rsidRPr="0084355C" w14:paraId="2BAFA9F7" w14:textId="77777777" w:rsidTr="00E32CE3">
        <w:tc>
          <w:tcPr>
            <w:tcW w:w="5529" w:type="dxa"/>
            <w:vAlign w:val="bottom"/>
          </w:tcPr>
          <w:p w14:paraId="2BAFA9F5" w14:textId="5089418B" w:rsidR="00DD60CC" w:rsidRPr="0084355C" w:rsidRDefault="00346C90" w:rsidP="00764000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color w:val="000000" w:themeColor="text1"/>
              </w:rPr>
            </w:pPr>
            <w:r w:rsidRPr="0084355C">
              <w:rPr>
                <w:rFonts w:eastAsia="SimSun"/>
                <w:color w:val="000000" w:themeColor="text1"/>
              </w:rPr>
              <w:t>Голов</w:t>
            </w:r>
            <w:r w:rsidR="009E0074" w:rsidRPr="0084355C">
              <w:rPr>
                <w:rFonts w:eastAsia="SimSun"/>
                <w:color w:val="000000" w:themeColor="text1"/>
              </w:rPr>
              <w:t>а</w:t>
            </w:r>
            <w:r w:rsidR="00B6258F">
              <w:rPr>
                <w:rFonts w:eastAsia="SimSun"/>
                <w:color w:val="000000" w:themeColor="text1"/>
              </w:rPr>
              <w:t xml:space="preserve"> Національного банку України</w:t>
            </w:r>
          </w:p>
        </w:tc>
        <w:tc>
          <w:tcPr>
            <w:tcW w:w="4325" w:type="dxa"/>
            <w:vAlign w:val="bottom"/>
          </w:tcPr>
          <w:p w14:paraId="2BAFA9F6" w14:textId="434D7D14" w:rsidR="00DD60CC" w:rsidRPr="0084355C" w:rsidRDefault="00827D2E" w:rsidP="00764000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 w:firstLine="567"/>
              <w:jc w:val="right"/>
              <w:rPr>
                <w:color w:val="000000" w:themeColor="text1"/>
              </w:rPr>
            </w:pPr>
            <w:r w:rsidRPr="0084355C">
              <w:rPr>
                <w:rFonts w:eastAsia="SimSun"/>
                <w:color w:val="000000" w:themeColor="text1"/>
              </w:rPr>
              <w:t>Андрій ПИШНИЙ</w:t>
            </w:r>
          </w:p>
        </w:tc>
      </w:tr>
    </w:tbl>
    <w:p w14:paraId="2BAFA9FA" w14:textId="64EA7CCA" w:rsidR="000F1B82" w:rsidRPr="000F49CC" w:rsidRDefault="000F1B82" w:rsidP="00764000">
      <w:pPr>
        <w:ind w:firstLine="567"/>
        <w:jc w:val="left"/>
        <w:rPr>
          <w:color w:val="000000" w:themeColor="text1"/>
          <w:lang w:val="en-US"/>
        </w:rPr>
      </w:pPr>
    </w:p>
    <w:sectPr w:rsidR="000F1B82" w:rsidRPr="000F49CC" w:rsidSect="001B04BE">
      <w:headerReference w:type="default" r:id="rId12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9FBD" w14:textId="77777777" w:rsidR="00603BAC" w:rsidRDefault="00603BAC" w:rsidP="00E53CCD">
      <w:r>
        <w:separator/>
      </w:r>
    </w:p>
  </w:endnote>
  <w:endnote w:type="continuationSeparator" w:id="0">
    <w:p w14:paraId="74A11DD5" w14:textId="77777777" w:rsidR="00603BAC" w:rsidRDefault="00603BAC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8F16A" w14:textId="77777777" w:rsidR="00603BAC" w:rsidRDefault="00603BAC" w:rsidP="00E53CCD">
      <w:r>
        <w:separator/>
      </w:r>
    </w:p>
  </w:footnote>
  <w:footnote w:type="continuationSeparator" w:id="0">
    <w:p w14:paraId="20457A41" w14:textId="77777777" w:rsidR="00603BAC" w:rsidRDefault="00603BAC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2BAFAA00" w14:textId="23DB62F6" w:rsidR="000F1B82" w:rsidRDefault="00C76D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9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AFAA01" w14:textId="77777777" w:rsidR="000F1B82" w:rsidRDefault="000F1B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F167F"/>
    <w:multiLevelType w:val="hybridMultilevel"/>
    <w:tmpl w:val="FCC84A5E"/>
    <w:lvl w:ilvl="0" w:tplc="FC1A2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4C7D2B7E"/>
    <w:multiLevelType w:val="hybridMultilevel"/>
    <w:tmpl w:val="79E236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53FB7"/>
    <w:multiLevelType w:val="hybridMultilevel"/>
    <w:tmpl w:val="C90C5ED4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53C37"/>
    <w:multiLevelType w:val="hybridMultilevel"/>
    <w:tmpl w:val="8EF6DB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18EC"/>
    <w:multiLevelType w:val="hybridMultilevel"/>
    <w:tmpl w:val="31D06C36"/>
    <w:lvl w:ilvl="0" w:tplc="58F63A7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E42EA4"/>
    <w:multiLevelType w:val="hybridMultilevel"/>
    <w:tmpl w:val="28A49D60"/>
    <w:lvl w:ilvl="0" w:tplc="92647800">
      <w:start w:val="2"/>
      <w:numFmt w:val="bullet"/>
      <w:lvlText w:val="-"/>
      <w:lvlJc w:val="left"/>
      <w:pPr>
        <w:ind w:left="10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 w15:restartNumberingAfterBreak="0">
    <w:nsid w:val="74134A25"/>
    <w:multiLevelType w:val="multilevel"/>
    <w:tmpl w:val="4E2667F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21C4"/>
    <w:rsid w:val="000064FA"/>
    <w:rsid w:val="00007148"/>
    <w:rsid w:val="00011790"/>
    <w:rsid w:val="000117ED"/>
    <w:rsid w:val="00012E68"/>
    <w:rsid w:val="000146A4"/>
    <w:rsid w:val="00015FDE"/>
    <w:rsid w:val="00020145"/>
    <w:rsid w:val="00021999"/>
    <w:rsid w:val="000232EB"/>
    <w:rsid w:val="00030304"/>
    <w:rsid w:val="00031F9C"/>
    <w:rsid w:val="000342A5"/>
    <w:rsid w:val="00034552"/>
    <w:rsid w:val="0003793C"/>
    <w:rsid w:val="000405DC"/>
    <w:rsid w:val="00043432"/>
    <w:rsid w:val="0005364F"/>
    <w:rsid w:val="000543C6"/>
    <w:rsid w:val="00063480"/>
    <w:rsid w:val="00070B94"/>
    <w:rsid w:val="0007663C"/>
    <w:rsid w:val="00080A17"/>
    <w:rsid w:val="00081158"/>
    <w:rsid w:val="0008390B"/>
    <w:rsid w:val="00090468"/>
    <w:rsid w:val="00095FD0"/>
    <w:rsid w:val="000A4677"/>
    <w:rsid w:val="000A514B"/>
    <w:rsid w:val="000B2990"/>
    <w:rsid w:val="000B51B6"/>
    <w:rsid w:val="000B705A"/>
    <w:rsid w:val="000C06AF"/>
    <w:rsid w:val="000C242C"/>
    <w:rsid w:val="000C5CD6"/>
    <w:rsid w:val="000C6E31"/>
    <w:rsid w:val="000D2955"/>
    <w:rsid w:val="000E177D"/>
    <w:rsid w:val="000F1B82"/>
    <w:rsid w:val="000F1D2C"/>
    <w:rsid w:val="000F49CC"/>
    <w:rsid w:val="000F6E29"/>
    <w:rsid w:val="000F73E7"/>
    <w:rsid w:val="00101F3A"/>
    <w:rsid w:val="001035CC"/>
    <w:rsid w:val="001057FB"/>
    <w:rsid w:val="001177D8"/>
    <w:rsid w:val="00125891"/>
    <w:rsid w:val="001352D6"/>
    <w:rsid w:val="00143369"/>
    <w:rsid w:val="001454A2"/>
    <w:rsid w:val="00153304"/>
    <w:rsid w:val="00155D9D"/>
    <w:rsid w:val="001617E5"/>
    <w:rsid w:val="00161B3C"/>
    <w:rsid w:val="00163F6B"/>
    <w:rsid w:val="00172829"/>
    <w:rsid w:val="001740C0"/>
    <w:rsid w:val="001756BB"/>
    <w:rsid w:val="00177CB1"/>
    <w:rsid w:val="00190E1A"/>
    <w:rsid w:val="00191348"/>
    <w:rsid w:val="001930AA"/>
    <w:rsid w:val="001962D0"/>
    <w:rsid w:val="001A16FA"/>
    <w:rsid w:val="001A3D6D"/>
    <w:rsid w:val="001B04BE"/>
    <w:rsid w:val="001B46EA"/>
    <w:rsid w:val="001B495D"/>
    <w:rsid w:val="001B7000"/>
    <w:rsid w:val="001C52FD"/>
    <w:rsid w:val="001D487A"/>
    <w:rsid w:val="001E0977"/>
    <w:rsid w:val="001E4111"/>
    <w:rsid w:val="001E5B55"/>
    <w:rsid w:val="001F1468"/>
    <w:rsid w:val="001F2FFA"/>
    <w:rsid w:val="001F5F44"/>
    <w:rsid w:val="002023F4"/>
    <w:rsid w:val="00203928"/>
    <w:rsid w:val="00214108"/>
    <w:rsid w:val="00216BF7"/>
    <w:rsid w:val="0023282D"/>
    <w:rsid w:val="002367AB"/>
    <w:rsid w:val="00241373"/>
    <w:rsid w:val="00243F75"/>
    <w:rsid w:val="0024504B"/>
    <w:rsid w:val="00246973"/>
    <w:rsid w:val="002469E4"/>
    <w:rsid w:val="00250C86"/>
    <w:rsid w:val="00252E45"/>
    <w:rsid w:val="00253BF9"/>
    <w:rsid w:val="002566B7"/>
    <w:rsid w:val="0026005F"/>
    <w:rsid w:val="00261C51"/>
    <w:rsid w:val="00262AA6"/>
    <w:rsid w:val="00264983"/>
    <w:rsid w:val="00266678"/>
    <w:rsid w:val="00270B4E"/>
    <w:rsid w:val="00271FCC"/>
    <w:rsid w:val="00273765"/>
    <w:rsid w:val="00276496"/>
    <w:rsid w:val="00281F25"/>
    <w:rsid w:val="0029546D"/>
    <w:rsid w:val="002A05A7"/>
    <w:rsid w:val="002A6DFB"/>
    <w:rsid w:val="002C4266"/>
    <w:rsid w:val="002C51A4"/>
    <w:rsid w:val="002D1790"/>
    <w:rsid w:val="002D5293"/>
    <w:rsid w:val="002D775B"/>
    <w:rsid w:val="002D7A29"/>
    <w:rsid w:val="002E17D4"/>
    <w:rsid w:val="002E313E"/>
    <w:rsid w:val="002E5260"/>
    <w:rsid w:val="002F21B3"/>
    <w:rsid w:val="002F28CD"/>
    <w:rsid w:val="003105A0"/>
    <w:rsid w:val="00320583"/>
    <w:rsid w:val="003207FB"/>
    <w:rsid w:val="00326161"/>
    <w:rsid w:val="00327A71"/>
    <w:rsid w:val="00332E8C"/>
    <w:rsid w:val="00343255"/>
    <w:rsid w:val="00346C90"/>
    <w:rsid w:val="00347D6F"/>
    <w:rsid w:val="00350B26"/>
    <w:rsid w:val="00356E34"/>
    <w:rsid w:val="00357676"/>
    <w:rsid w:val="003643AF"/>
    <w:rsid w:val="00367333"/>
    <w:rsid w:val="00370B27"/>
    <w:rsid w:val="00370F98"/>
    <w:rsid w:val="00376202"/>
    <w:rsid w:val="00380FB0"/>
    <w:rsid w:val="0038385E"/>
    <w:rsid w:val="003912C1"/>
    <w:rsid w:val="003914DE"/>
    <w:rsid w:val="00393A2E"/>
    <w:rsid w:val="0039725C"/>
    <w:rsid w:val="003A593C"/>
    <w:rsid w:val="003A751F"/>
    <w:rsid w:val="003B1199"/>
    <w:rsid w:val="003B4F47"/>
    <w:rsid w:val="003B55FD"/>
    <w:rsid w:val="003C3282"/>
    <w:rsid w:val="003C3985"/>
    <w:rsid w:val="003C3A17"/>
    <w:rsid w:val="003C4C77"/>
    <w:rsid w:val="003D1372"/>
    <w:rsid w:val="003D24A2"/>
    <w:rsid w:val="003D32C4"/>
    <w:rsid w:val="003E0BE2"/>
    <w:rsid w:val="003E7FC3"/>
    <w:rsid w:val="003F1CC3"/>
    <w:rsid w:val="00401EDB"/>
    <w:rsid w:val="00404C93"/>
    <w:rsid w:val="00407877"/>
    <w:rsid w:val="00407F5F"/>
    <w:rsid w:val="00415846"/>
    <w:rsid w:val="004207DA"/>
    <w:rsid w:val="00427847"/>
    <w:rsid w:val="0044238A"/>
    <w:rsid w:val="0044269F"/>
    <w:rsid w:val="004541DA"/>
    <w:rsid w:val="00455B45"/>
    <w:rsid w:val="004859F3"/>
    <w:rsid w:val="0048711B"/>
    <w:rsid w:val="00490937"/>
    <w:rsid w:val="0049426D"/>
    <w:rsid w:val="004969B2"/>
    <w:rsid w:val="004A23F5"/>
    <w:rsid w:val="004A2DEA"/>
    <w:rsid w:val="004A62FE"/>
    <w:rsid w:val="004A6E98"/>
    <w:rsid w:val="004A7440"/>
    <w:rsid w:val="004A7F75"/>
    <w:rsid w:val="004B1FE9"/>
    <w:rsid w:val="004B48EF"/>
    <w:rsid w:val="004B4C7D"/>
    <w:rsid w:val="004B6277"/>
    <w:rsid w:val="004B6EB8"/>
    <w:rsid w:val="004C2315"/>
    <w:rsid w:val="004C37D1"/>
    <w:rsid w:val="004D1212"/>
    <w:rsid w:val="004D41BE"/>
    <w:rsid w:val="004E1C7D"/>
    <w:rsid w:val="004E22E2"/>
    <w:rsid w:val="004E5BCA"/>
    <w:rsid w:val="004F2AC6"/>
    <w:rsid w:val="004F6911"/>
    <w:rsid w:val="0050381C"/>
    <w:rsid w:val="00505F44"/>
    <w:rsid w:val="00507376"/>
    <w:rsid w:val="005100A0"/>
    <w:rsid w:val="00512761"/>
    <w:rsid w:val="0051285D"/>
    <w:rsid w:val="005213AD"/>
    <w:rsid w:val="0052249E"/>
    <w:rsid w:val="00523C13"/>
    <w:rsid w:val="00524738"/>
    <w:rsid w:val="00524B3B"/>
    <w:rsid w:val="005257C2"/>
    <w:rsid w:val="00531DD6"/>
    <w:rsid w:val="00533BF8"/>
    <w:rsid w:val="00542533"/>
    <w:rsid w:val="005472D3"/>
    <w:rsid w:val="0054784E"/>
    <w:rsid w:val="005505F5"/>
    <w:rsid w:val="005624B6"/>
    <w:rsid w:val="0056476A"/>
    <w:rsid w:val="00564CFD"/>
    <w:rsid w:val="00565DB6"/>
    <w:rsid w:val="00570F4F"/>
    <w:rsid w:val="0057237F"/>
    <w:rsid w:val="00572433"/>
    <w:rsid w:val="00574E29"/>
    <w:rsid w:val="00577357"/>
    <w:rsid w:val="00577402"/>
    <w:rsid w:val="005A0F4B"/>
    <w:rsid w:val="005A1D3C"/>
    <w:rsid w:val="005A3F0D"/>
    <w:rsid w:val="005A3F34"/>
    <w:rsid w:val="005A6B68"/>
    <w:rsid w:val="005B2722"/>
    <w:rsid w:val="005B2D03"/>
    <w:rsid w:val="005B3AE6"/>
    <w:rsid w:val="005B43F2"/>
    <w:rsid w:val="005B784E"/>
    <w:rsid w:val="005B7C23"/>
    <w:rsid w:val="005C5CBF"/>
    <w:rsid w:val="005C659A"/>
    <w:rsid w:val="005D3397"/>
    <w:rsid w:val="005D498D"/>
    <w:rsid w:val="005D49C2"/>
    <w:rsid w:val="005E1D71"/>
    <w:rsid w:val="005E3FA8"/>
    <w:rsid w:val="005E543A"/>
    <w:rsid w:val="005F09A2"/>
    <w:rsid w:val="005F24A0"/>
    <w:rsid w:val="00603BAC"/>
    <w:rsid w:val="00612CB2"/>
    <w:rsid w:val="00623192"/>
    <w:rsid w:val="00626DBB"/>
    <w:rsid w:val="00633E94"/>
    <w:rsid w:val="00640612"/>
    <w:rsid w:val="00640F67"/>
    <w:rsid w:val="0064227D"/>
    <w:rsid w:val="00645557"/>
    <w:rsid w:val="006472CD"/>
    <w:rsid w:val="00652A05"/>
    <w:rsid w:val="00653E36"/>
    <w:rsid w:val="00655F4A"/>
    <w:rsid w:val="00655FE9"/>
    <w:rsid w:val="00656E13"/>
    <w:rsid w:val="0066572D"/>
    <w:rsid w:val="00666367"/>
    <w:rsid w:val="006666F0"/>
    <w:rsid w:val="00670C95"/>
    <w:rsid w:val="00675421"/>
    <w:rsid w:val="006841BD"/>
    <w:rsid w:val="00684D7F"/>
    <w:rsid w:val="006925CE"/>
    <w:rsid w:val="00692E08"/>
    <w:rsid w:val="00694917"/>
    <w:rsid w:val="00697DB2"/>
    <w:rsid w:val="006A38CD"/>
    <w:rsid w:val="006A41C5"/>
    <w:rsid w:val="006A6075"/>
    <w:rsid w:val="006A766D"/>
    <w:rsid w:val="006B2748"/>
    <w:rsid w:val="006B32E8"/>
    <w:rsid w:val="006B3C1C"/>
    <w:rsid w:val="006B4D7D"/>
    <w:rsid w:val="006B712C"/>
    <w:rsid w:val="006C0282"/>
    <w:rsid w:val="006C4176"/>
    <w:rsid w:val="006C5AC0"/>
    <w:rsid w:val="006C66EF"/>
    <w:rsid w:val="006D2617"/>
    <w:rsid w:val="006F35A9"/>
    <w:rsid w:val="0070330D"/>
    <w:rsid w:val="007105DD"/>
    <w:rsid w:val="0071224B"/>
    <w:rsid w:val="00713BA9"/>
    <w:rsid w:val="00715770"/>
    <w:rsid w:val="0071789F"/>
    <w:rsid w:val="007213E5"/>
    <w:rsid w:val="007241BB"/>
    <w:rsid w:val="00734EBE"/>
    <w:rsid w:val="00735FD3"/>
    <w:rsid w:val="007479D2"/>
    <w:rsid w:val="007576F6"/>
    <w:rsid w:val="00762368"/>
    <w:rsid w:val="00764000"/>
    <w:rsid w:val="00767B9D"/>
    <w:rsid w:val="0077387B"/>
    <w:rsid w:val="007764A7"/>
    <w:rsid w:val="0078127A"/>
    <w:rsid w:val="00783AF2"/>
    <w:rsid w:val="007867E9"/>
    <w:rsid w:val="007A6609"/>
    <w:rsid w:val="007A6618"/>
    <w:rsid w:val="007B48C7"/>
    <w:rsid w:val="007C045D"/>
    <w:rsid w:val="007C186B"/>
    <w:rsid w:val="007C2CED"/>
    <w:rsid w:val="007D3A79"/>
    <w:rsid w:val="007E061B"/>
    <w:rsid w:val="007E6789"/>
    <w:rsid w:val="007E67A2"/>
    <w:rsid w:val="007F0FF2"/>
    <w:rsid w:val="007F30CD"/>
    <w:rsid w:val="007F54B6"/>
    <w:rsid w:val="007F574C"/>
    <w:rsid w:val="007F5C75"/>
    <w:rsid w:val="0080267C"/>
    <w:rsid w:val="00802988"/>
    <w:rsid w:val="00802DEA"/>
    <w:rsid w:val="00807BDE"/>
    <w:rsid w:val="00814796"/>
    <w:rsid w:val="008160BB"/>
    <w:rsid w:val="0081725F"/>
    <w:rsid w:val="00822B76"/>
    <w:rsid w:val="00827D2E"/>
    <w:rsid w:val="00834E7A"/>
    <w:rsid w:val="0084130C"/>
    <w:rsid w:val="0084355C"/>
    <w:rsid w:val="008453B8"/>
    <w:rsid w:val="0084600C"/>
    <w:rsid w:val="00846F25"/>
    <w:rsid w:val="008634A6"/>
    <w:rsid w:val="008644BE"/>
    <w:rsid w:val="00866993"/>
    <w:rsid w:val="00874366"/>
    <w:rsid w:val="008752BE"/>
    <w:rsid w:val="008762D8"/>
    <w:rsid w:val="0088735B"/>
    <w:rsid w:val="0089177E"/>
    <w:rsid w:val="00891FC0"/>
    <w:rsid w:val="00892361"/>
    <w:rsid w:val="008A7CFD"/>
    <w:rsid w:val="008A7F11"/>
    <w:rsid w:val="008B525C"/>
    <w:rsid w:val="008B6633"/>
    <w:rsid w:val="008C0287"/>
    <w:rsid w:val="008C47D7"/>
    <w:rsid w:val="008C78ED"/>
    <w:rsid w:val="008C7BEE"/>
    <w:rsid w:val="008D02B1"/>
    <w:rsid w:val="008D10FD"/>
    <w:rsid w:val="008D122F"/>
    <w:rsid w:val="008D16BD"/>
    <w:rsid w:val="008D6D6F"/>
    <w:rsid w:val="008E2DD4"/>
    <w:rsid w:val="008E5EEE"/>
    <w:rsid w:val="008F0210"/>
    <w:rsid w:val="008F0E49"/>
    <w:rsid w:val="008F4B1A"/>
    <w:rsid w:val="008F50B2"/>
    <w:rsid w:val="008F5D52"/>
    <w:rsid w:val="0090402E"/>
    <w:rsid w:val="00904F17"/>
    <w:rsid w:val="00912D55"/>
    <w:rsid w:val="00913186"/>
    <w:rsid w:val="00922966"/>
    <w:rsid w:val="00930C8A"/>
    <w:rsid w:val="00937AE3"/>
    <w:rsid w:val="009401D4"/>
    <w:rsid w:val="00943175"/>
    <w:rsid w:val="00951171"/>
    <w:rsid w:val="00962333"/>
    <w:rsid w:val="0097288F"/>
    <w:rsid w:val="00981CB0"/>
    <w:rsid w:val="00981D87"/>
    <w:rsid w:val="0098207E"/>
    <w:rsid w:val="00987D12"/>
    <w:rsid w:val="00993187"/>
    <w:rsid w:val="00995E11"/>
    <w:rsid w:val="009B6120"/>
    <w:rsid w:val="009C2F76"/>
    <w:rsid w:val="009C7504"/>
    <w:rsid w:val="009D0894"/>
    <w:rsid w:val="009D2072"/>
    <w:rsid w:val="009D531C"/>
    <w:rsid w:val="009D5AE9"/>
    <w:rsid w:val="009D6050"/>
    <w:rsid w:val="009D6BDE"/>
    <w:rsid w:val="009E0074"/>
    <w:rsid w:val="009E1B8F"/>
    <w:rsid w:val="009E210F"/>
    <w:rsid w:val="009E72C1"/>
    <w:rsid w:val="009E72FA"/>
    <w:rsid w:val="009F2C2E"/>
    <w:rsid w:val="009F3962"/>
    <w:rsid w:val="009F4E06"/>
    <w:rsid w:val="009F5312"/>
    <w:rsid w:val="009F7053"/>
    <w:rsid w:val="00A037F6"/>
    <w:rsid w:val="00A0594A"/>
    <w:rsid w:val="00A074A5"/>
    <w:rsid w:val="00A12C47"/>
    <w:rsid w:val="00A17F84"/>
    <w:rsid w:val="00A2398B"/>
    <w:rsid w:val="00A23E04"/>
    <w:rsid w:val="00A25A1A"/>
    <w:rsid w:val="00A355D3"/>
    <w:rsid w:val="00A442F2"/>
    <w:rsid w:val="00A457E7"/>
    <w:rsid w:val="00A50DC0"/>
    <w:rsid w:val="00A637C4"/>
    <w:rsid w:val="00A643A4"/>
    <w:rsid w:val="00A64578"/>
    <w:rsid w:val="00A668D2"/>
    <w:rsid w:val="00A717FE"/>
    <w:rsid w:val="00A72F06"/>
    <w:rsid w:val="00A730F2"/>
    <w:rsid w:val="00A77FFD"/>
    <w:rsid w:val="00A87C43"/>
    <w:rsid w:val="00A94513"/>
    <w:rsid w:val="00A95B59"/>
    <w:rsid w:val="00AA06CC"/>
    <w:rsid w:val="00AA64AE"/>
    <w:rsid w:val="00AB1099"/>
    <w:rsid w:val="00AB4554"/>
    <w:rsid w:val="00AC200A"/>
    <w:rsid w:val="00AC47B6"/>
    <w:rsid w:val="00AD2F11"/>
    <w:rsid w:val="00AE2CAF"/>
    <w:rsid w:val="00AE2D62"/>
    <w:rsid w:val="00AF0E48"/>
    <w:rsid w:val="00B07C1E"/>
    <w:rsid w:val="00B129E4"/>
    <w:rsid w:val="00B20298"/>
    <w:rsid w:val="00B203D3"/>
    <w:rsid w:val="00B2538D"/>
    <w:rsid w:val="00B2731C"/>
    <w:rsid w:val="00B3074D"/>
    <w:rsid w:val="00B332B2"/>
    <w:rsid w:val="00B344F7"/>
    <w:rsid w:val="00B35CBF"/>
    <w:rsid w:val="00B36185"/>
    <w:rsid w:val="00B36EC7"/>
    <w:rsid w:val="00B4456B"/>
    <w:rsid w:val="00B5684F"/>
    <w:rsid w:val="00B6258F"/>
    <w:rsid w:val="00B664EC"/>
    <w:rsid w:val="00B6677D"/>
    <w:rsid w:val="00B67D71"/>
    <w:rsid w:val="00B72123"/>
    <w:rsid w:val="00B75FC3"/>
    <w:rsid w:val="00B76F33"/>
    <w:rsid w:val="00B8078D"/>
    <w:rsid w:val="00B87BAE"/>
    <w:rsid w:val="00B91A30"/>
    <w:rsid w:val="00B94B58"/>
    <w:rsid w:val="00BA026D"/>
    <w:rsid w:val="00BA211D"/>
    <w:rsid w:val="00BA4193"/>
    <w:rsid w:val="00BB6642"/>
    <w:rsid w:val="00BC31BA"/>
    <w:rsid w:val="00BC402D"/>
    <w:rsid w:val="00BD6395"/>
    <w:rsid w:val="00BE72C8"/>
    <w:rsid w:val="00BF6991"/>
    <w:rsid w:val="00BF7D2A"/>
    <w:rsid w:val="00BF7DDD"/>
    <w:rsid w:val="00C03593"/>
    <w:rsid w:val="00C13FA1"/>
    <w:rsid w:val="00C174BB"/>
    <w:rsid w:val="00C21D33"/>
    <w:rsid w:val="00C23208"/>
    <w:rsid w:val="00C23A00"/>
    <w:rsid w:val="00C24F51"/>
    <w:rsid w:val="00C2720A"/>
    <w:rsid w:val="00C33524"/>
    <w:rsid w:val="00C346C5"/>
    <w:rsid w:val="00C37AC5"/>
    <w:rsid w:val="00C40C62"/>
    <w:rsid w:val="00C428A0"/>
    <w:rsid w:val="00C4377C"/>
    <w:rsid w:val="00C45FFF"/>
    <w:rsid w:val="00C47F0F"/>
    <w:rsid w:val="00C627B0"/>
    <w:rsid w:val="00C66D1A"/>
    <w:rsid w:val="00C746EA"/>
    <w:rsid w:val="00C76DC0"/>
    <w:rsid w:val="00C7725D"/>
    <w:rsid w:val="00C82259"/>
    <w:rsid w:val="00C84BBD"/>
    <w:rsid w:val="00C909EE"/>
    <w:rsid w:val="00C91A13"/>
    <w:rsid w:val="00C92BFF"/>
    <w:rsid w:val="00C94CF0"/>
    <w:rsid w:val="00C9522B"/>
    <w:rsid w:val="00CA187D"/>
    <w:rsid w:val="00CA2DDB"/>
    <w:rsid w:val="00CA54D9"/>
    <w:rsid w:val="00CB0A99"/>
    <w:rsid w:val="00CC1728"/>
    <w:rsid w:val="00CC6B74"/>
    <w:rsid w:val="00CD28D9"/>
    <w:rsid w:val="00CD4494"/>
    <w:rsid w:val="00CD698F"/>
    <w:rsid w:val="00CD7842"/>
    <w:rsid w:val="00CE13E8"/>
    <w:rsid w:val="00CE3B9F"/>
    <w:rsid w:val="00D06A04"/>
    <w:rsid w:val="00D06AB1"/>
    <w:rsid w:val="00D11CCA"/>
    <w:rsid w:val="00D20BF5"/>
    <w:rsid w:val="00D232AB"/>
    <w:rsid w:val="00D2520D"/>
    <w:rsid w:val="00D26209"/>
    <w:rsid w:val="00D34DCC"/>
    <w:rsid w:val="00D34EF2"/>
    <w:rsid w:val="00D43D61"/>
    <w:rsid w:val="00D4657A"/>
    <w:rsid w:val="00D544C5"/>
    <w:rsid w:val="00D54543"/>
    <w:rsid w:val="00D54BFD"/>
    <w:rsid w:val="00D620A5"/>
    <w:rsid w:val="00D861C2"/>
    <w:rsid w:val="00D86D5F"/>
    <w:rsid w:val="00D944C6"/>
    <w:rsid w:val="00D97BE6"/>
    <w:rsid w:val="00DA273B"/>
    <w:rsid w:val="00DB089C"/>
    <w:rsid w:val="00DB2727"/>
    <w:rsid w:val="00DB54E6"/>
    <w:rsid w:val="00DC1E60"/>
    <w:rsid w:val="00DC28E7"/>
    <w:rsid w:val="00DC4C1D"/>
    <w:rsid w:val="00DC6E91"/>
    <w:rsid w:val="00DC79B4"/>
    <w:rsid w:val="00DD3CC8"/>
    <w:rsid w:val="00DD60CC"/>
    <w:rsid w:val="00DE2DE6"/>
    <w:rsid w:val="00DE55F3"/>
    <w:rsid w:val="00E01688"/>
    <w:rsid w:val="00E105DD"/>
    <w:rsid w:val="00E11C93"/>
    <w:rsid w:val="00E14419"/>
    <w:rsid w:val="00E166C3"/>
    <w:rsid w:val="00E22ECA"/>
    <w:rsid w:val="00E24944"/>
    <w:rsid w:val="00E25374"/>
    <w:rsid w:val="00E27437"/>
    <w:rsid w:val="00E27ABA"/>
    <w:rsid w:val="00E32CE3"/>
    <w:rsid w:val="00E33B0E"/>
    <w:rsid w:val="00E40647"/>
    <w:rsid w:val="00E412B7"/>
    <w:rsid w:val="00E44425"/>
    <w:rsid w:val="00E53CB5"/>
    <w:rsid w:val="00E53CCD"/>
    <w:rsid w:val="00E5600E"/>
    <w:rsid w:val="00E56113"/>
    <w:rsid w:val="00E609A9"/>
    <w:rsid w:val="00E60DE8"/>
    <w:rsid w:val="00E7022D"/>
    <w:rsid w:val="00E70B94"/>
    <w:rsid w:val="00E71855"/>
    <w:rsid w:val="00E719A9"/>
    <w:rsid w:val="00E770FF"/>
    <w:rsid w:val="00E85551"/>
    <w:rsid w:val="00E8581B"/>
    <w:rsid w:val="00E85B84"/>
    <w:rsid w:val="00E91BD5"/>
    <w:rsid w:val="00EA1DE4"/>
    <w:rsid w:val="00EA568D"/>
    <w:rsid w:val="00EA60EA"/>
    <w:rsid w:val="00EA68E4"/>
    <w:rsid w:val="00EB29BF"/>
    <w:rsid w:val="00EB2AFC"/>
    <w:rsid w:val="00EB319E"/>
    <w:rsid w:val="00EB598F"/>
    <w:rsid w:val="00EB6724"/>
    <w:rsid w:val="00EC1B31"/>
    <w:rsid w:val="00EC6C02"/>
    <w:rsid w:val="00ED31E8"/>
    <w:rsid w:val="00ED3C69"/>
    <w:rsid w:val="00ED5CB5"/>
    <w:rsid w:val="00EE3193"/>
    <w:rsid w:val="00EE38AF"/>
    <w:rsid w:val="00EF539D"/>
    <w:rsid w:val="00EF68B0"/>
    <w:rsid w:val="00F003D3"/>
    <w:rsid w:val="00F02422"/>
    <w:rsid w:val="00F03E32"/>
    <w:rsid w:val="00F10DCF"/>
    <w:rsid w:val="00F37A62"/>
    <w:rsid w:val="00F42E75"/>
    <w:rsid w:val="00F435EB"/>
    <w:rsid w:val="00F438FD"/>
    <w:rsid w:val="00F47187"/>
    <w:rsid w:val="00F517FA"/>
    <w:rsid w:val="00F52D16"/>
    <w:rsid w:val="00F618D5"/>
    <w:rsid w:val="00F63BD9"/>
    <w:rsid w:val="00F6694C"/>
    <w:rsid w:val="00F8145F"/>
    <w:rsid w:val="00F8567F"/>
    <w:rsid w:val="00F87AAA"/>
    <w:rsid w:val="00F907D0"/>
    <w:rsid w:val="00F9190A"/>
    <w:rsid w:val="00F9202E"/>
    <w:rsid w:val="00F96F18"/>
    <w:rsid w:val="00FA248E"/>
    <w:rsid w:val="00FA533A"/>
    <w:rsid w:val="00FA616E"/>
    <w:rsid w:val="00FA6374"/>
    <w:rsid w:val="00FB7891"/>
    <w:rsid w:val="00FC0769"/>
    <w:rsid w:val="00FD3BF3"/>
    <w:rsid w:val="00FD613B"/>
    <w:rsid w:val="00FE0799"/>
    <w:rsid w:val="00FE0D78"/>
    <w:rsid w:val="00FF5874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FA9DD"/>
  <w15:docId w15:val="{A873A5A0-B6AF-4229-91B7-2905AAB1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annotation reference"/>
    <w:basedOn w:val="a0"/>
    <w:uiPriority w:val="99"/>
    <w:unhideWhenUsed/>
    <w:qFormat/>
    <w:rsid w:val="00E24944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E24944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24944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a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7E061B"/>
    <w:pPr>
      <w:suppressAutoHyphens/>
      <w:spacing w:before="280" w:after="280"/>
      <w:jc w:val="left"/>
    </w:pPr>
    <w:rPr>
      <w:szCs w:val="24"/>
      <w:lang w:eastAsia="zh-CN"/>
    </w:rPr>
  </w:style>
  <w:style w:type="character" w:styleId="afb">
    <w:name w:val="Strong"/>
    <w:basedOn w:val="a0"/>
    <w:uiPriority w:val="22"/>
    <w:qFormat/>
    <w:rsid w:val="00DD3CC8"/>
    <w:rPr>
      <w:b/>
      <w:bCs/>
    </w:rPr>
  </w:style>
  <w:style w:type="character" w:styleId="afc">
    <w:name w:val="Hyperlink"/>
    <w:basedOn w:val="a0"/>
    <w:uiPriority w:val="99"/>
    <w:unhideWhenUsed/>
    <w:rsid w:val="0044238A"/>
    <w:rPr>
      <w:color w:val="5F5F5F" w:themeColor="hyperlink"/>
      <w:u w:val="single"/>
    </w:rPr>
  </w:style>
  <w:style w:type="character" w:customStyle="1" w:styleId="rvts44">
    <w:name w:val="rvts44"/>
    <w:basedOn w:val="a0"/>
    <w:rsid w:val="00BF7D2A"/>
  </w:style>
  <w:style w:type="character" w:customStyle="1" w:styleId="af4">
    <w:name w:val="Абзац списку Знак"/>
    <w:aliases w:val="Bullets Знак,Normal bullet 2 Знак"/>
    <w:link w:val="af3"/>
    <w:uiPriority w:val="34"/>
    <w:qFormat/>
    <w:locked/>
    <w:rsid w:val="008A7CFD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Default">
    <w:name w:val="Default"/>
    <w:rsid w:val="007F5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EB880-67D4-4CE3-B704-DC254128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43A68-002A-4758-B51F-D264F5A46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70EFF-9C99-43D7-A142-D779FB52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F839F35-4152-4B8D-9A34-7A433DB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6682</Words>
  <Characters>3809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Цимбалюк Христина Олегівна</dc:creator>
  <cp:keywords/>
  <dc:description/>
  <cp:lastModifiedBy>Цимбалюк Христина Олегівна</cp:lastModifiedBy>
  <cp:revision>2</cp:revision>
  <cp:lastPrinted>2016-05-24T11:03:00Z</cp:lastPrinted>
  <dcterms:created xsi:type="dcterms:W3CDTF">2023-10-02T08:42:00Z</dcterms:created>
  <dcterms:modified xsi:type="dcterms:W3CDTF">2023-10-02T08:42:00Z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