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105D" w14:textId="77777777" w:rsidR="00B5684F" w:rsidRPr="00102BEF" w:rsidRDefault="00B5684F" w:rsidP="00ED31E8">
      <w:pPr>
        <w:ind w:firstLine="709"/>
        <w:jc w:val="right"/>
        <w:rPr>
          <w:rFonts w:eastAsiaTheme="minorEastAsia"/>
          <w:b/>
          <w:sz w:val="2"/>
          <w:szCs w:val="2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00036" w:rsidRPr="00200036" w14:paraId="7F8B0CBA" w14:textId="77777777" w:rsidTr="00BE32D5">
        <w:trPr>
          <w:trHeight w:val="1528"/>
        </w:trPr>
        <w:tc>
          <w:tcPr>
            <w:tcW w:w="9356" w:type="dxa"/>
          </w:tcPr>
          <w:p w14:paraId="1A94A7A3" w14:textId="77777777" w:rsidR="00346C90" w:rsidRPr="00200036" w:rsidRDefault="00346C90" w:rsidP="00346C90">
            <w:pPr>
              <w:widowControl w:val="0"/>
              <w:jc w:val="center"/>
              <w:rPr>
                <w:b/>
                <w:lang w:eastAsia="zh-CN"/>
              </w:rPr>
            </w:pPr>
            <w:r w:rsidRPr="00200036">
              <w:rPr>
                <w:b/>
                <w:lang w:eastAsia="zh-CN"/>
              </w:rPr>
              <w:t>Аналіз регуляторного впливу</w:t>
            </w:r>
          </w:p>
          <w:p w14:paraId="53EFE8C3" w14:textId="77777777" w:rsidR="009238B9" w:rsidRPr="00200036" w:rsidRDefault="00346C90" w:rsidP="00FB1A6E">
            <w:pPr>
              <w:widowControl w:val="0"/>
              <w:jc w:val="center"/>
              <w:rPr>
                <w:b/>
                <w:lang w:eastAsia="zh-CN"/>
              </w:rPr>
            </w:pPr>
            <w:r w:rsidRPr="00200036">
              <w:rPr>
                <w:b/>
                <w:lang w:eastAsia="zh-CN"/>
              </w:rPr>
              <w:t>проєкту постанови Правління Національного</w:t>
            </w:r>
            <w:r w:rsidR="00A16E83" w:rsidRPr="00200036">
              <w:rPr>
                <w:b/>
                <w:lang w:eastAsia="zh-CN"/>
              </w:rPr>
              <w:t xml:space="preserve"> </w:t>
            </w:r>
            <w:r w:rsidRPr="00200036">
              <w:rPr>
                <w:b/>
                <w:lang w:eastAsia="zh-CN"/>
              </w:rPr>
              <w:t xml:space="preserve">банку України </w:t>
            </w:r>
          </w:p>
          <w:p w14:paraId="3C5CE160" w14:textId="0780AC60" w:rsidR="00C67A22" w:rsidRPr="00C67A22" w:rsidRDefault="009238B9" w:rsidP="00C67A22">
            <w:pPr>
              <w:widowControl w:val="0"/>
              <w:jc w:val="center"/>
              <w:rPr>
                <w:b/>
                <w:lang w:eastAsia="zh-CN"/>
              </w:rPr>
            </w:pPr>
            <w:r w:rsidRPr="00200036">
              <w:rPr>
                <w:b/>
                <w:lang w:eastAsia="zh-CN"/>
              </w:rPr>
              <w:t>“</w:t>
            </w:r>
            <w:r w:rsidR="00C67A22" w:rsidRPr="00C67A22">
              <w:rPr>
                <w:b/>
                <w:lang w:eastAsia="zh-CN"/>
              </w:rPr>
              <w:t>Про затвердження Положення про</w:t>
            </w:r>
            <w:r w:rsidR="00C67A22">
              <w:rPr>
                <w:b/>
                <w:lang w:eastAsia="zh-CN"/>
              </w:rPr>
              <w:t xml:space="preserve"> </w:t>
            </w:r>
            <w:r w:rsidR="00C67A22" w:rsidRPr="00C67A22">
              <w:rPr>
                <w:b/>
                <w:lang w:eastAsia="zh-CN"/>
              </w:rPr>
              <w:t>вимоги до системи управління</w:t>
            </w:r>
          </w:p>
          <w:p w14:paraId="35C164CC" w14:textId="6D29FD93" w:rsidR="009238B9" w:rsidRPr="00200036" w:rsidRDefault="00C67A22" w:rsidP="00C67A22">
            <w:pPr>
              <w:widowControl w:val="0"/>
              <w:jc w:val="center"/>
              <w:rPr>
                <w:b/>
                <w:lang w:eastAsia="zh-CN"/>
              </w:rPr>
            </w:pPr>
            <w:r w:rsidRPr="00C67A22">
              <w:rPr>
                <w:b/>
                <w:lang w:eastAsia="zh-CN"/>
              </w:rPr>
              <w:t>страховика</w:t>
            </w:r>
            <w:r w:rsidR="009238B9" w:rsidRPr="00200036">
              <w:rPr>
                <w:b/>
                <w:lang w:eastAsia="zh-CN"/>
              </w:rPr>
              <w:t>”</w:t>
            </w:r>
          </w:p>
          <w:p w14:paraId="5744A56C" w14:textId="77777777" w:rsidR="00346C90" w:rsidRPr="00200036" w:rsidRDefault="00346C90" w:rsidP="00FB1A6E">
            <w:pPr>
              <w:widowControl w:val="0"/>
              <w:jc w:val="center"/>
              <w:rPr>
                <w:b/>
                <w:lang w:eastAsia="zh-CN"/>
              </w:rPr>
            </w:pPr>
          </w:p>
        </w:tc>
      </w:tr>
    </w:tbl>
    <w:p w14:paraId="14743C60" w14:textId="77777777" w:rsidR="00346C90" w:rsidRPr="00200036" w:rsidRDefault="00346C90" w:rsidP="00C67A22">
      <w:pPr>
        <w:widowControl w:val="0"/>
        <w:ind w:firstLine="567"/>
        <w:rPr>
          <w:b/>
          <w:lang w:eastAsia="zh-CN"/>
        </w:rPr>
      </w:pPr>
      <w:r w:rsidRPr="00200036">
        <w:rPr>
          <w:b/>
          <w:lang w:eastAsia="zh-CN"/>
        </w:rPr>
        <w:t xml:space="preserve">І. Визначення проблеми, яку </w:t>
      </w:r>
      <w:r w:rsidR="0043384B" w:rsidRPr="00200036">
        <w:rPr>
          <w:b/>
          <w:lang w:eastAsia="zh-CN"/>
        </w:rPr>
        <w:t xml:space="preserve">передбачається </w:t>
      </w:r>
      <w:r w:rsidRPr="00200036">
        <w:rPr>
          <w:b/>
          <w:lang w:eastAsia="zh-CN"/>
        </w:rPr>
        <w:t>розв’язати шляхом державного регулювання</w:t>
      </w:r>
    </w:p>
    <w:p w14:paraId="4A3CEBA4" w14:textId="77777777" w:rsidR="00346C90" w:rsidRPr="00200036" w:rsidRDefault="00346C90" w:rsidP="00C67A22">
      <w:pPr>
        <w:widowControl w:val="0"/>
        <w:ind w:firstLine="567"/>
        <w:rPr>
          <w:rFonts w:eastAsia="Calibri"/>
          <w:lang w:eastAsia="en-US"/>
        </w:rPr>
      </w:pPr>
      <w:r w:rsidRPr="00200036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200036">
        <w:rPr>
          <w:rFonts w:eastAsia="Calibri"/>
          <w:vertAlign w:val="superscript"/>
          <w:lang w:eastAsia="en-US"/>
        </w:rPr>
        <w:t>1</w:t>
      </w:r>
      <w:r w:rsidRPr="00200036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</w:t>
      </w:r>
      <w:r w:rsidR="00A16E83" w:rsidRPr="00200036">
        <w:rPr>
          <w:rFonts w:eastAsia="Calibri"/>
          <w:lang w:eastAsia="en-US"/>
        </w:rPr>
        <w:t xml:space="preserve"> </w:t>
      </w:r>
      <w:r w:rsidRPr="00200036">
        <w:rPr>
          <w:rFonts w:eastAsia="Calibri"/>
          <w:lang w:eastAsia="en-US"/>
        </w:rPr>
        <w:t>Законом України “Про фінансові послуги та державне регулювання ринків фінансових послуг” та іншими законами України.</w:t>
      </w:r>
    </w:p>
    <w:p w14:paraId="200001FB" w14:textId="4E4EAF9D" w:rsidR="00E531F6" w:rsidRDefault="00237FD5" w:rsidP="00C67A22">
      <w:pPr>
        <w:pStyle w:val="HTML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Розділом </w:t>
      </w:r>
      <w:r w:rsidRPr="00200036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України</w:t>
      </w:r>
      <w:r w:rsidR="00F377ED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від 18</w:t>
      </w:r>
      <w:r w:rsidR="00F42B58">
        <w:rPr>
          <w:rFonts w:ascii="Times New Roman" w:eastAsia="Calibri" w:hAnsi="Times New Roman"/>
          <w:sz w:val="28"/>
          <w:szCs w:val="28"/>
          <w:lang w:eastAsia="en-US"/>
        </w:rPr>
        <w:t xml:space="preserve"> листопада </w:t>
      </w:r>
      <w:r w:rsidR="00F377ED" w:rsidRPr="00200036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F42B58">
        <w:rPr>
          <w:rFonts w:ascii="Times New Roman" w:eastAsia="Calibri" w:hAnsi="Times New Roman"/>
          <w:sz w:val="28"/>
          <w:szCs w:val="28"/>
          <w:lang w:eastAsia="en-US"/>
        </w:rPr>
        <w:t xml:space="preserve"> року</w:t>
      </w:r>
      <w:r w:rsidR="00F377ED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№ 1909-IX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“Про </w:t>
      </w:r>
      <w:r w:rsidR="00584CF5" w:rsidRPr="00200036">
        <w:rPr>
          <w:rFonts w:ascii="Times New Roman" w:eastAsia="Calibri" w:hAnsi="Times New Roman"/>
          <w:sz w:val="28"/>
          <w:szCs w:val="28"/>
          <w:lang w:eastAsia="en-US"/>
        </w:rPr>
        <w:t>страхування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” (далі – </w:t>
      </w:r>
      <w:r w:rsidR="00D06522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новий 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481EB2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6522" w:rsidRPr="00200036">
        <w:rPr>
          <w:rFonts w:ascii="Times New Roman" w:eastAsia="Calibri" w:hAnsi="Times New Roman"/>
          <w:sz w:val="28"/>
          <w:szCs w:val="28"/>
          <w:lang w:eastAsia="en-US"/>
        </w:rPr>
        <w:t>про страхування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="0004799F" w:rsidRPr="00200036">
        <w:rPr>
          <w:rFonts w:ascii="Times New Roman" w:eastAsia="Calibri" w:hAnsi="Times New Roman"/>
          <w:sz w:val="28"/>
          <w:szCs w:val="28"/>
          <w:lang w:eastAsia="en-US"/>
        </w:rPr>
        <w:t>що набрав чинності 19</w:t>
      </w:r>
      <w:r w:rsidR="00F42B58">
        <w:rPr>
          <w:rFonts w:ascii="Times New Roman" w:eastAsia="Calibri" w:hAnsi="Times New Roman"/>
          <w:sz w:val="28"/>
          <w:szCs w:val="28"/>
          <w:lang w:eastAsia="en-US"/>
        </w:rPr>
        <w:t xml:space="preserve"> грудня </w:t>
      </w:r>
      <w:r w:rsidR="0004799F" w:rsidRPr="00200036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F42B58">
        <w:rPr>
          <w:rFonts w:ascii="Times New Roman" w:eastAsia="Calibri" w:hAnsi="Times New Roman"/>
          <w:sz w:val="28"/>
          <w:szCs w:val="28"/>
          <w:lang w:eastAsia="en-US"/>
        </w:rPr>
        <w:t xml:space="preserve"> року</w:t>
      </w:r>
      <w:r w:rsidR="003343CC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284148">
        <w:rPr>
          <w:rFonts w:ascii="Times New Roman" w:eastAsia="Calibri" w:hAnsi="Times New Roman"/>
          <w:sz w:val="28"/>
          <w:szCs w:val="28"/>
          <w:lang w:eastAsia="en-US"/>
        </w:rPr>
        <w:t>встановлено</w:t>
      </w:r>
      <w:r w:rsidR="00284148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>особливості побудови</w:t>
      </w:r>
      <w:r w:rsidR="00584CF5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B0667" w:rsidRPr="00200036">
        <w:rPr>
          <w:rFonts w:ascii="Times New Roman" w:eastAsia="Calibri" w:hAnsi="Times New Roman"/>
          <w:sz w:val="28"/>
          <w:szCs w:val="28"/>
          <w:lang w:eastAsia="en-US"/>
        </w:rPr>
        <w:t>системи управління страховика</w:t>
      </w:r>
      <w:r w:rsidR="00CB7ED3">
        <w:rPr>
          <w:rFonts w:ascii="Times New Roman" w:eastAsia="Calibri" w:hAnsi="Times New Roman"/>
          <w:sz w:val="28"/>
          <w:szCs w:val="28"/>
          <w:lang w:eastAsia="en-US"/>
        </w:rPr>
        <w:t xml:space="preserve">, а </w:t>
      </w:r>
      <w:r w:rsidRPr="00200036">
        <w:rPr>
          <w:rFonts w:ascii="Times New Roman" w:hAnsi="Times New Roman"/>
          <w:sz w:val="28"/>
          <w:szCs w:val="28"/>
        </w:rPr>
        <w:t xml:space="preserve">також наділено 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Національний банк повноваженнями щодо встановлення </w:t>
      </w:r>
      <w:r w:rsidR="00E531F6" w:rsidRPr="00200036">
        <w:rPr>
          <w:rFonts w:ascii="Times New Roman" w:eastAsia="Calibri" w:hAnsi="Times New Roman"/>
          <w:sz w:val="28"/>
          <w:szCs w:val="28"/>
          <w:lang w:eastAsia="en-US"/>
        </w:rPr>
        <w:t>вимог до системи управління страховика та контролю за їх дотриманням; встановлення вимог до системи внутрішнього контролю страховика, системи управління ризиками, контролю за дотриманням норм (комплаєнс), внутрішнього аудиту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та</w:t>
      </w:r>
      <w:r w:rsidR="00E531F6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 актуарної функції</w:t>
      </w:r>
      <w:r w:rsidR="006D4272" w:rsidRPr="00200036">
        <w:rPr>
          <w:rFonts w:ascii="Times New Roman" w:eastAsia="Calibri" w:hAnsi="Times New Roman"/>
          <w:sz w:val="28"/>
          <w:szCs w:val="28"/>
          <w:lang w:eastAsia="en-US"/>
        </w:rPr>
        <w:t>; встановлення порядку подання до Національного банк</w:t>
      </w:r>
      <w:r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у актуарного звіту та </w:t>
      </w:r>
      <w:r w:rsidR="006D4272" w:rsidRPr="00200036">
        <w:rPr>
          <w:rFonts w:ascii="Times New Roman" w:eastAsia="Calibri" w:hAnsi="Times New Roman"/>
          <w:sz w:val="28"/>
          <w:szCs w:val="28"/>
          <w:lang w:eastAsia="en-US"/>
        </w:rPr>
        <w:t>звіту про діяльність підрозділу внутрішнього аудиту та інших документів за результатами внутрішнього аудиту</w:t>
      </w:r>
      <w:r w:rsidR="000B0667" w:rsidRPr="0020003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0AC52CC6" w14:textId="33EC6D8D" w:rsidR="00284148" w:rsidRPr="00200036" w:rsidRDefault="00CB7ED3" w:rsidP="00C67A22">
      <w:pPr>
        <w:pStyle w:val="HTML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 w:rsidR="00284148">
        <w:rPr>
          <w:rFonts w:ascii="Times New Roman" w:hAnsi="Times New Roman"/>
          <w:sz w:val="28"/>
          <w:szCs w:val="28"/>
        </w:rPr>
        <w:t>рім того, в</w:t>
      </w:r>
      <w:r w:rsidR="00284148" w:rsidRPr="002150EC">
        <w:rPr>
          <w:rFonts w:ascii="Times New Roman" w:hAnsi="Times New Roman"/>
          <w:sz w:val="28"/>
          <w:szCs w:val="28"/>
        </w:rPr>
        <w:t xml:space="preserve">ідповідно до підпункту </w:t>
      </w:r>
      <w:r w:rsidR="00284148">
        <w:rPr>
          <w:rFonts w:ascii="Times New Roman" w:hAnsi="Times New Roman"/>
          <w:sz w:val="28"/>
          <w:szCs w:val="28"/>
        </w:rPr>
        <w:t>5</w:t>
      </w:r>
      <w:r w:rsidR="00284148" w:rsidRPr="002150EC">
        <w:rPr>
          <w:rFonts w:ascii="Times New Roman" w:hAnsi="Times New Roman"/>
          <w:sz w:val="28"/>
          <w:szCs w:val="28"/>
        </w:rPr>
        <w:t xml:space="preserve"> частини третьої статті 114 </w:t>
      </w:r>
      <w:r w:rsidR="00284148">
        <w:rPr>
          <w:rFonts w:ascii="Times New Roman" w:hAnsi="Times New Roman"/>
          <w:sz w:val="28"/>
          <w:szCs w:val="28"/>
        </w:rPr>
        <w:t xml:space="preserve">нового </w:t>
      </w:r>
      <w:r w:rsidR="00284148" w:rsidRPr="002150EC">
        <w:rPr>
          <w:rFonts w:ascii="Times New Roman" w:hAnsi="Times New Roman"/>
          <w:sz w:val="28"/>
          <w:szCs w:val="28"/>
        </w:rPr>
        <w:t xml:space="preserve">Закону про страхування Національний банк </w:t>
      </w:r>
      <w:r>
        <w:rPr>
          <w:rFonts w:ascii="Times New Roman" w:hAnsi="Times New Roman"/>
          <w:sz w:val="28"/>
          <w:szCs w:val="28"/>
        </w:rPr>
        <w:t>під час</w:t>
      </w:r>
      <w:r w:rsidRPr="002150EC">
        <w:rPr>
          <w:rFonts w:ascii="Times New Roman" w:hAnsi="Times New Roman"/>
          <w:sz w:val="28"/>
          <w:szCs w:val="28"/>
        </w:rPr>
        <w:t xml:space="preserve"> </w:t>
      </w:r>
      <w:r w:rsidR="00284148" w:rsidRPr="002150EC">
        <w:rPr>
          <w:rFonts w:ascii="Times New Roman" w:hAnsi="Times New Roman"/>
          <w:sz w:val="28"/>
          <w:szCs w:val="28"/>
        </w:rPr>
        <w:t>здійсненн</w:t>
      </w:r>
      <w:r>
        <w:rPr>
          <w:rFonts w:ascii="Times New Roman" w:hAnsi="Times New Roman"/>
          <w:sz w:val="28"/>
          <w:szCs w:val="28"/>
        </w:rPr>
        <w:t>я</w:t>
      </w:r>
      <w:r w:rsidR="00284148" w:rsidRPr="002150EC">
        <w:rPr>
          <w:rFonts w:ascii="Times New Roman" w:hAnsi="Times New Roman"/>
          <w:sz w:val="28"/>
          <w:szCs w:val="28"/>
        </w:rPr>
        <w:t xml:space="preserve"> державного регулювання та нагляду за страховою (перестраховою) діяльністю </w:t>
      </w:r>
      <w:r w:rsidR="00284148" w:rsidRPr="00284148">
        <w:rPr>
          <w:rFonts w:ascii="Times New Roman" w:hAnsi="Times New Roman"/>
          <w:sz w:val="28"/>
          <w:szCs w:val="28"/>
        </w:rPr>
        <w:t>визначає критерії віднесення страховиків до категорії значимих страховиків</w:t>
      </w:r>
      <w:r w:rsidR="00284148">
        <w:rPr>
          <w:rFonts w:ascii="Times New Roman" w:hAnsi="Times New Roman"/>
          <w:sz w:val="28"/>
          <w:szCs w:val="28"/>
        </w:rPr>
        <w:t>.</w:t>
      </w:r>
    </w:p>
    <w:p w14:paraId="3B58D080" w14:textId="36D4D3E4" w:rsidR="0094698C" w:rsidRPr="00200036" w:rsidRDefault="0094698C" w:rsidP="00C67A22">
      <w:pPr>
        <w:autoSpaceDE w:val="0"/>
        <w:autoSpaceDN w:val="0"/>
        <w:adjustRightInd w:val="0"/>
        <w:ind w:firstLine="567"/>
      </w:pPr>
      <w:r w:rsidRPr="00200036">
        <w:rPr>
          <w:sz w:val="29"/>
          <w:szCs w:val="29"/>
          <w:lang w:eastAsia="en-US"/>
        </w:rPr>
        <w:t xml:space="preserve">У відповідній сфері правового регулювання є </w:t>
      </w:r>
      <w:r w:rsidR="00D07F77">
        <w:rPr>
          <w:sz w:val="29"/>
          <w:szCs w:val="29"/>
          <w:lang w:eastAsia="en-US"/>
        </w:rPr>
        <w:t xml:space="preserve">такі </w:t>
      </w:r>
      <w:r w:rsidRPr="00200036">
        <w:rPr>
          <w:sz w:val="29"/>
          <w:szCs w:val="29"/>
          <w:lang w:eastAsia="en-US"/>
        </w:rPr>
        <w:t>прийняті Національною комісією, що здійснює державне регулювання у сфері ринків фінансових послуг (далі – Нацкомфінпослуг), нормативно-правові акти:</w:t>
      </w:r>
    </w:p>
    <w:p w14:paraId="5943A1EE" w14:textId="396A52B4" w:rsidR="0094698C" w:rsidRPr="00200036" w:rsidRDefault="003C12FE" w:rsidP="00C67A22">
      <w:pPr>
        <w:ind w:firstLine="567"/>
      </w:pPr>
      <w:r w:rsidRPr="00200036">
        <w:rPr>
          <w:rFonts w:eastAsiaTheme="minorEastAsia"/>
          <w:lang w:eastAsia="en-US"/>
        </w:rPr>
        <w:t>в</w:t>
      </w:r>
      <w:r w:rsidR="0094698C" w:rsidRPr="00200036">
        <w:t xml:space="preserve">имоги до організації і функціонування системи управління ризиками у страховика, затверджені розпорядженням </w:t>
      </w:r>
      <w:r w:rsidR="00CB7ED3">
        <w:rPr>
          <w:sz w:val="29"/>
          <w:szCs w:val="29"/>
          <w:lang w:eastAsia="en-US"/>
        </w:rPr>
        <w:t>Національної комісії</w:t>
      </w:r>
      <w:r w:rsidR="00CB7ED3" w:rsidRPr="00200036">
        <w:rPr>
          <w:sz w:val="29"/>
          <w:szCs w:val="29"/>
          <w:lang w:eastAsia="en-US"/>
        </w:rPr>
        <w:t>, що здійснює державне регулювання у сфері ринків фінансових послуг</w:t>
      </w:r>
      <w:r w:rsidR="00CB7ED3">
        <w:rPr>
          <w:sz w:val="29"/>
          <w:szCs w:val="29"/>
          <w:lang w:eastAsia="en-US"/>
        </w:rPr>
        <w:t>,</w:t>
      </w:r>
      <w:r w:rsidR="0094698C" w:rsidRPr="00200036">
        <w:t xml:space="preserve"> від 04 лютого 2014 року № 295, </w:t>
      </w:r>
      <w:r w:rsidR="007625E4" w:rsidRPr="00200036">
        <w:t>зареєстрован</w:t>
      </w:r>
      <w:r w:rsidR="007625E4">
        <w:t>им</w:t>
      </w:r>
      <w:r w:rsidR="007625E4" w:rsidRPr="00200036">
        <w:t xml:space="preserve"> </w:t>
      </w:r>
      <w:r w:rsidR="0094698C" w:rsidRPr="00200036">
        <w:t>в Міністерстві юстиції України 03 березня 2014 року за № 344/25121;</w:t>
      </w:r>
    </w:p>
    <w:p w14:paraId="12A802BA" w14:textId="0A168959" w:rsidR="0094698C" w:rsidRPr="00200036" w:rsidRDefault="003C12FE" w:rsidP="00C67A22">
      <w:pPr>
        <w:ind w:firstLine="567"/>
      </w:pPr>
      <w:r w:rsidRPr="00200036">
        <w:rPr>
          <w:rFonts w:eastAsiaTheme="minorEastAsia"/>
          <w:lang w:eastAsia="en-US"/>
        </w:rPr>
        <w:t>в</w:t>
      </w:r>
      <w:r w:rsidR="0094698C" w:rsidRPr="00200036">
        <w:t>имоги щодо регулярного проведення стрес-тестування страховиками та розкриття інформації щодо ключових ризиків та результатів проведених стрес-тестів, затверджен</w:t>
      </w:r>
      <w:r w:rsidR="00CB7ED3">
        <w:t>і</w:t>
      </w:r>
      <w:r w:rsidR="0094698C" w:rsidRPr="00200036">
        <w:t xml:space="preserve"> розпорядженням </w:t>
      </w:r>
      <w:r w:rsidR="00CB7ED3">
        <w:rPr>
          <w:sz w:val="29"/>
          <w:szCs w:val="29"/>
          <w:lang w:eastAsia="en-US"/>
        </w:rPr>
        <w:t>Національної комісії</w:t>
      </w:r>
      <w:r w:rsidR="00CB7ED3" w:rsidRPr="00200036">
        <w:rPr>
          <w:sz w:val="29"/>
          <w:szCs w:val="29"/>
          <w:lang w:eastAsia="en-US"/>
        </w:rPr>
        <w:t>, що здійснює державне регулювання у сфері ринків фінансових послуг</w:t>
      </w:r>
      <w:r w:rsidR="00CB7ED3">
        <w:rPr>
          <w:sz w:val="29"/>
          <w:szCs w:val="29"/>
          <w:lang w:eastAsia="en-US"/>
        </w:rPr>
        <w:t>,</w:t>
      </w:r>
      <w:r w:rsidR="0094698C" w:rsidRPr="00200036">
        <w:t xml:space="preserve"> від 13 лютого 2014 року № 484, </w:t>
      </w:r>
      <w:r w:rsidR="007625E4" w:rsidRPr="00200036">
        <w:t>зареєстрован</w:t>
      </w:r>
      <w:r w:rsidR="007625E4">
        <w:t>им</w:t>
      </w:r>
      <w:r w:rsidR="007625E4" w:rsidRPr="00200036">
        <w:t xml:space="preserve"> </w:t>
      </w:r>
      <w:r w:rsidR="0094698C" w:rsidRPr="00200036">
        <w:t>в Міністерстві юстиції України 12 березня 2014 року за № 352/25129.</w:t>
      </w:r>
    </w:p>
    <w:p w14:paraId="527D5630" w14:textId="78516C1F" w:rsidR="00CD36AF" w:rsidRPr="00200036" w:rsidRDefault="00CB7ED3" w:rsidP="00C67A22">
      <w:pPr>
        <w:ind w:firstLine="567"/>
      </w:pPr>
      <w:r>
        <w:t>Відповідно до п</w:t>
      </w:r>
      <w:r w:rsidR="00CD36AF" w:rsidRPr="00200036">
        <w:t>ункт</w:t>
      </w:r>
      <w:r>
        <w:t>у</w:t>
      </w:r>
      <w:r w:rsidR="00CD36AF" w:rsidRPr="00200036">
        <w:t xml:space="preserve"> 25 розділу XV “Прикінцеві та перехідні положення” нового Закону про страхування </w:t>
      </w:r>
      <w:r>
        <w:t xml:space="preserve">Національному банку слід </w:t>
      </w:r>
      <w:r w:rsidR="00CD36AF" w:rsidRPr="00200036">
        <w:t xml:space="preserve">до дня введення в дію </w:t>
      </w:r>
      <w:r w:rsidR="00A86131">
        <w:lastRenderedPageBreak/>
        <w:t>нового</w:t>
      </w:r>
      <w:r w:rsidR="00A86131" w:rsidRPr="00200036">
        <w:t xml:space="preserve"> </w:t>
      </w:r>
      <w:r w:rsidR="00CD36AF" w:rsidRPr="00200036">
        <w:t xml:space="preserve">Закону </w:t>
      </w:r>
      <w:r w:rsidR="00A86131">
        <w:t xml:space="preserve">про страхування </w:t>
      </w:r>
      <w:r w:rsidR="00CD36AF" w:rsidRPr="00200036">
        <w:t xml:space="preserve">привести свої нормативно-правові акти у відповідність до </w:t>
      </w:r>
      <w:r>
        <w:t xml:space="preserve">вимог </w:t>
      </w:r>
      <w:r w:rsidRPr="00200036">
        <w:t>нового Закону про страхування</w:t>
      </w:r>
      <w:r w:rsidRPr="00200036" w:rsidDel="00CB7ED3">
        <w:t xml:space="preserve"> </w:t>
      </w:r>
      <w:r w:rsidR="00CD36AF" w:rsidRPr="00200036">
        <w:t xml:space="preserve">та забезпечити прийняття нормативно-правових актів, необхідних для реалізації </w:t>
      </w:r>
      <w:r w:rsidRPr="00200036">
        <w:t>нового Закону про страхування</w:t>
      </w:r>
      <w:r w:rsidR="00CD36AF" w:rsidRPr="00200036">
        <w:t>.</w:t>
      </w:r>
    </w:p>
    <w:p w14:paraId="2D604741" w14:textId="5D4D061A" w:rsidR="0094698C" w:rsidRPr="00200036" w:rsidRDefault="0094698C" w:rsidP="00C67A22">
      <w:pPr>
        <w:ind w:firstLine="567"/>
      </w:pPr>
      <w:r w:rsidRPr="00200036">
        <w:t xml:space="preserve">Національний банк, що набув повноважень регулятора ринку небанківських фінансових послуг, не має </w:t>
      </w:r>
      <w:r w:rsidR="003C12FE" w:rsidRPr="00200036">
        <w:t xml:space="preserve">прийнятих ним </w:t>
      </w:r>
      <w:r w:rsidRPr="00200036">
        <w:t xml:space="preserve">регуляторних актів, що визначають вимоги до системи управління страховика, уключаючи вимоги </w:t>
      </w:r>
      <w:r w:rsidR="00D07F77">
        <w:t xml:space="preserve">до </w:t>
      </w:r>
      <w:r w:rsidRPr="00200036">
        <w:t>системи внутрішнього контролю страховика, системи управління ризиками, контролю за дотриманням норм (комплаєнс), внутрішнього аудиту та здійснення актуарної функції.</w:t>
      </w:r>
    </w:p>
    <w:p w14:paraId="619A5DF4" w14:textId="77777777" w:rsidR="0073630F" w:rsidRPr="00200036" w:rsidRDefault="000B0667" w:rsidP="00C67A22">
      <w:pPr>
        <w:ind w:firstLine="567"/>
        <w:rPr>
          <w:sz w:val="24"/>
          <w:szCs w:val="24"/>
        </w:rPr>
      </w:pPr>
      <w:r w:rsidRPr="00200036">
        <w:t>Проблема, що пропонується розв’язати шляхом державного регулювання, а саме шляхом прийняття проєкту постанови Правління Національного банку України “</w:t>
      </w:r>
      <w:r w:rsidR="00DF0636" w:rsidRPr="00200036">
        <w:t>Про затвердження Положення про вимоги до системи управління страховика</w:t>
      </w:r>
      <w:r w:rsidRPr="00200036">
        <w:t xml:space="preserve">” (далі </w:t>
      </w:r>
      <w:r w:rsidR="00DF0636" w:rsidRPr="00200036">
        <w:t>– регуляторний акт), стосується діяльності страховиків.</w:t>
      </w:r>
    </w:p>
    <w:p w14:paraId="7A135592" w14:textId="77777777" w:rsidR="00346C90" w:rsidRPr="00200036" w:rsidRDefault="00346C90" w:rsidP="00C67A22">
      <w:pPr>
        <w:pStyle w:val="HTML"/>
        <w:ind w:firstLine="567"/>
        <w:rPr>
          <w:rFonts w:ascii="Times New Roman" w:hAnsi="Times New Roman"/>
          <w:sz w:val="28"/>
          <w:szCs w:val="28"/>
        </w:rPr>
      </w:pPr>
      <w:r w:rsidRPr="00200036">
        <w:rPr>
          <w:rFonts w:ascii="Times New Roman" w:hAnsi="Times New Roman"/>
          <w:sz w:val="28"/>
          <w:szCs w:val="28"/>
        </w:rPr>
        <w:t>Зазначен</w:t>
      </w:r>
      <w:r w:rsidR="008E7995" w:rsidRPr="00200036">
        <w:rPr>
          <w:rFonts w:ascii="Times New Roman" w:hAnsi="Times New Roman"/>
          <w:sz w:val="28"/>
          <w:szCs w:val="28"/>
        </w:rPr>
        <w:t>і</w:t>
      </w:r>
      <w:r w:rsidR="00125F04" w:rsidRPr="00200036">
        <w:rPr>
          <w:rFonts w:ascii="Times New Roman" w:hAnsi="Times New Roman"/>
          <w:sz w:val="28"/>
          <w:szCs w:val="28"/>
        </w:rPr>
        <w:t xml:space="preserve"> вище</w:t>
      </w:r>
      <w:r w:rsidRPr="00200036">
        <w:rPr>
          <w:rFonts w:ascii="Times New Roman" w:hAnsi="Times New Roman"/>
          <w:sz w:val="28"/>
          <w:szCs w:val="28"/>
        </w:rPr>
        <w:t xml:space="preserve"> питання не мож</w:t>
      </w:r>
      <w:r w:rsidR="008E7995" w:rsidRPr="00200036">
        <w:rPr>
          <w:rFonts w:ascii="Times New Roman" w:hAnsi="Times New Roman"/>
          <w:sz w:val="28"/>
          <w:szCs w:val="28"/>
        </w:rPr>
        <w:t>уть</w:t>
      </w:r>
      <w:r w:rsidRPr="00200036">
        <w:rPr>
          <w:rFonts w:ascii="Times New Roman" w:hAnsi="Times New Roman"/>
          <w:sz w:val="28"/>
          <w:szCs w:val="28"/>
        </w:rPr>
        <w:t xml:space="preserve"> бути виріш</w:t>
      </w:r>
      <w:r w:rsidR="00E411C2" w:rsidRPr="00200036">
        <w:rPr>
          <w:rFonts w:ascii="Times New Roman" w:hAnsi="Times New Roman"/>
          <w:sz w:val="28"/>
          <w:szCs w:val="28"/>
        </w:rPr>
        <w:t>е</w:t>
      </w:r>
      <w:r w:rsidRPr="00200036">
        <w:rPr>
          <w:rFonts w:ascii="Times New Roman" w:hAnsi="Times New Roman"/>
          <w:sz w:val="28"/>
          <w:szCs w:val="28"/>
        </w:rPr>
        <w:t>н</w:t>
      </w:r>
      <w:r w:rsidR="00E411C2" w:rsidRPr="00200036">
        <w:rPr>
          <w:rFonts w:ascii="Times New Roman" w:hAnsi="Times New Roman"/>
          <w:sz w:val="28"/>
          <w:szCs w:val="28"/>
        </w:rPr>
        <w:t>і</w:t>
      </w:r>
      <w:r w:rsidRPr="00200036">
        <w:rPr>
          <w:rFonts w:ascii="Times New Roman" w:hAnsi="Times New Roman"/>
          <w:sz w:val="28"/>
          <w:szCs w:val="28"/>
        </w:rPr>
        <w:t xml:space="preserve"> за допомогою ринкових механізмів, оскільки</w:t>
      </w:r>
      <w:r w:rsidR="00CA3442" w:rsidRPr="00200036">
        <w:rPr>
          <w:rFonts w:ascii="Times New Roman" w:hAnsi="Times New Roman"/>
          <w:sz w:val="28"/>
          <w:szCs w:val="28"/>
        </w:rPr>
        <w:t xml:space="preserve"> </w:t>
      </w:r>
      <w:r w:rsidR="004E2115" w:rsidRPr="00200036">
        <w:rPr>
          <w:rFonts w:ascii="Times New Roman" w:hAnsi="Times New Roman"/>
          <w:sz w:val="28"/>
          <w:szCs w:val="28"/>
        </w:rPr>
        <w:t>належ</w:t>
      </w:r>
      <w:r w:rsidR="00CA3442" w:rsidRPr="00200036">
        <w:rPr>
          <w:rFonts w:ascii="Times New Roman" w:hAnsi="Times New Roman"/>
          <w:sz w:val="28"/>
          <w:szCs w:val="28"/>
        </w:rPr>
        <w:t>а</w:t>
      </w:r>
      <w:r w:rsidR="004E2115" w:rsidRPr="00200036">
        <w:rPr>
          <w:rFonts w:ascii="Times New Roman" w:hAnsi="Times New Roman"/>
          <w:sz w:val="28"/>
          <w:szCs w:val="28"/>
        </w:rPr>
        <w:t>ть до</w:t>
      </w:r>
      <w:r w:rsidRPr="00200036">
        <w:rPr>
          <w:rFonts w:ascii="Times New Roman" w:hAnsi="Times New Roman"/>
          <w:sz w:val="28"/>
          <w:szCs w:val="28"/>
        </w:rPr>
        <w:t xml:space="preserve"> реалізації повноважень Національного банку, визначених </w:t>
      </w:r>
      <w:r w:rsidR="00D06522" w:rsidRPr="00200036">
        <w:rPr>
          <w:rFonts w:ascii="Times New Roman" w:eastAsia="Calibri" w:hAnsi="Times New Roman"/>
          <w:sz w:val="28"/>
          <w:szCs w:val="28"/>
          <w:lang w:eastAsia="en-US"/>
        </w:rPr>
        <w:t>новим Законом про страхування</w:t>
      </w:r>
      <w:r w:rsidR="00A72BDF" w:rsidRPr="00200036">
        <w:rPr>
          <w:rFonts w:ascii="Times New Roman" w:hAnsi="Times New Roman"/>
          <w:sz w:val="28"/>
          <w:szCs w:val="28"/>
        </w:rPr>
        <w:t xml:space="preserve"> та статтею 7 Закону України “Про Національний банк України”</w:t>
      </w:r>
      <w:r w:rsidRPr="00200036">
        <w:rPr>
          <w:rFonts w:ascii="Times New Roman" w:hAnsi="Times New Roman"/>
          <w:sz w:val="28"/>
          <w:szCs w:val="28"/>
        </w:rPr>
        <w:t xml:space="preserve">. </w:t>
      </w:r>
    </w:p>
    <w:p w14:paraId="52C6AC83" w14:textId="77777777" w:rsidR="00346C90" w:rsidRPr="00200036" w:rsidRDefault="00346C90" w:rsidP="00C67A22">
      <w:pPr>
        <w:widowControl w:val="0"/>
        <w:ind w:firstLine="567"/>
        <w:rPr>
          <w:rFonts w:eastAsia="Calibri"/>
          <w:lang w:eastAsia="en-US"/>
        </w:rPr>
      </w:pPr>
      <w:r w:rsidRPr="00200036">
        <w:rPr>
          <w:rFonts w:eastAsia="Calibri"/>
          <w:lang w:eastAsia="en-US"/>
        </w:rPr>
        <w:t xml:space="preserve">Отже, є потреба у врегулюванні </w:t>
      </w:r>
      <w:r w:rsidR="008D16BD" w:rsidRPr="00200036">
        <w:rPr>
          <w:rFonts w:eastAsia="Calibri"/>
          <w:lang w:eastAsia="en-US"/>
        </w:rPr>
        <w:t>вищезазначених</w:t>
      </w:r>
      <w:r w:rsidRPr="00200036">
        <w:rPr>
          <w:rFonts w:eastAsia="Calibri"/>
          <w:lang w:eastAsia="en-US"/>
        </w:rPr>
        <w:t xml:space="preserve"> проблем та затвердженні відповідного </w:t>
      </w:r>
      <w:r w:rsidR="00393C81">
        <w:rPr>
          <w:rFonts w:eastAsia="Calibri"/>
          <w:lang w:eastAsia="en-US"/>
        </w:rPr>
        <w:t>регуляторного</w:t>
      </w:r>
      <w:r w:rsidRPr="00200036">
        <w:rPr>
          <w:rFonts w:eastAsia="Calibri"/>
          <w:lang w:eastAsia="en-US"/>
        </w:rPr>
        <w:t xml:space="preserve"> акта Національного банку.</w:t>
      </w:r>
    </w:p>
    <w:p w14:paraId="2AD4FBC7" w14:textId="158FD777" w:rsidR="00346C90" w:rsidRPr="00200036" w:rsidRDefault="00346C90" w:rsidP="00C67A22">
      <w:pPr>
        <w:widowControl w:val="0"/>
        <w:shd w:val="clear" w:color="auto" w:fill="FFFFFF"/>
        <w:ind w:firstLine="567"/>
        <w:rPr>
          <w:lang w:eastAsia="zh-CN"/>
        </w:rPr>
      </w:pPr>
      <w:r w:rsidRPr="00200036">
        <w:rPr>
          <w:lang w:eastAsia="zh-CN"/>
        </w:rPr>
        <w:t>Суб’єктами, на яких поширю</w:t>
      </w:r>
      <w:r w:rsidR="00E121EA">
        <w:rPr>
          <w:lang w:eastAsia="zh-CN"/>
        </w:rPr>
        <w:t>ються вимоги</w:t>
      </w:r>
      <w:r w:rsidRPr="00200036">
        <w:rPr>
          <w:lang w:eastAsia="zh-CN"/>
        </w:rPr>
        <w:t xml:space="preserve"> регуляторного акта</w:t>
      </w:r>
      <w:r w:rsidR="008B492C" w:rsidRPr="00200036">
        <w:rPr>
          <w:lang w:eastAsia="zh-CN"/>
        </w:rPr>
        <w:t>,</w:t>
      </w:r>
      <w:r w:rsidRPr="00200036">
        <w:rPr>
          <w:lang w:eastAsia="zh-CN"/>
        </w:rPr>
        <w:t xml:space="preserve"> є </w:t>
      </w:r>
      <w:r w:rsidR="000A2CD2" w:rsidRPr="00200036">
        <w:rPr>
          <w:lang w:eastAsia="zh-CN"/>
        </w:rPr>
        <w:t>страхов</w:t>
      </w:r>
      <w:r w:rsidR="00DF0636" w:rsidRPr="00200036">
        <w:rPr>
          <w:lang w:eastAsia="zh-CN"/>
        </w:rPr>
        <w:t>ики</w:t>
      </w:r>
      <w:r w:rsidRPr="00200036">
        <w:rPr>
          <w:lang w:eastAsia="zh-CN"/>
        </w:rPr>
        <w:t xml:space="preserve">. Проблема, яку пропонується розв’язати шляхом державного регулювання, </w:t>
      </w:r>
      <w:r w:rsidR="00366989" w:rsidRPr="00200036">
        <w:rPr>
          <w:lang w:eastAsia="zh-CN"/>
        </w:rPr>
        <w:t xml:space="preserve">у разі її невирішення спричинить ситуацію, що </w:t>
      </w:r>
      <w:r w:rsidR="00E121EA">
        <w:rPr>
          <w:lang w:eastAsia="zh-CN"/>
        </w:rPr>
        <w:t xml:space="preserve">матиме </w:t>
      </w:r>
      <w:r w:rsidR="00366989" w:rsidRPr="00200036">
        <w:rPr>
          <w:lang w:eastAsia="zh-CN"/>
        </w:rPr>
        <w:t>негативний вплив на діяльність страховиків</w:t>
      </w:r>
      <w:r w:rsidRPr="00200036">
        <w:rPr>
          <w:lang w:eastAsia="zh-CN"/>
        </w:rPr>
        <w:t>.</w:t>
      </w:r>
    </w:p>
    <w:p w14:paraId="47CBC122" w14:textId="77777777" w:rsidR="004F6155" w:rsidRPr="00200036" w:rsidRDefault="004F6155" w:rsidP="00C67A22">
      <w:pPr>
        <w:widowControl w:val="0"/>
        <w:ind w:firstLine="567"/>
        <w:rPr>
          <w:b/>
          <w:lang w:eastAsia="zh-CN"/>
        </w:rPr>
      </w:pPr>
    </w:p>
    <w:p w14:paraId="6EBD05E6" w14:textId="77777777" w:rsidR="00346C90" w:rsidRPr="00200036" w:rsidRDefault="00346C90" w:rsidP="00C67A22">
      <w:pPr>
        <w:widowControl w:val="0"/>
        <w:ind w:firstLine="567"/>
        <w:rPr>
          <w:b/>
          <w:lang w:eastAsia="zh-CN"/>
        </w:rPr>
      </w:pPr>
      <w:r w:rsidRPr="00200036">
        <w:rPr>
          <w:b/>
          <w:lang w:eastAsia="zh-CN"/>
        </w:rPr>
        <w:t xml:space="preserve">ІІ. Визначення цілей державного регулювання </w:t>
      </w:r>
    </w:p>
    <w:p w14:paraId="64982C82" w14:textId="0A2E5DD9" w:rsidR="00346C90" w:rsidRPr="00E121EA" w:rsidRDefault="00346C90" w:rsidP="00C67A22">
      <w:pPr>
        <w:widowControl w:val="0"/>
        <w:ind w:firstLine="567"/>
        <w:rPr>
          <w:lang w:eastAsia="ru-RU"/>
        </w:rPr>
      </w:pPr>
      <w:r w:rsidRPr="00200036">
        <w:rPr>
          <w:lang w:eastAsia="ru-RU"/>
        </w:rPr>
        <w:t xml:space="preserve">Цілями державного регулювання, що безпосередньо пов’язані з </w:t>
      </w:r>
      <w:r w:rsidR="00ED0D95" w:rsidRPr="00200036">
        <w:rPr>
          <w:lang w:eastAsia="ru-RU"/>
        </w:rPr>
        <w:t>вирішенням</w:t>
      </w:r>
      <w:r w:rsidRPr="00200036">
        <w:rPr>
          <w:lang w:eastAsia="ru-RU"/>
        </w:rPr>
        <w:t xml:space="preserve"> </w:t>
      </w:r>
      <w:r w:rsidR="006D76DC" w:rsidRPr="00200036">
        <w:rPr>
          <w:lang w:eastAsia="ru-RU"/>
        </w:rPr>
        <w:t>вище</w:t>
      </w:r>
      <w:r w:rsidRPr="00200036">
        <w:rPr>
          <w:lang w:eastAsia="ru-RU"/>
        </w:rPr>
        <w:t>зазначених проблем,</w:t>
      </w:r>
      <w:r w:rsidR="00827868" w:rsidRPr="00200036">
        <w:rPr>
          <w:lang w:eastAsia="ru-RU"/>
        </w:rPr>
        <w:t xml:space="preserve"> є </w:t>
      </w:r>
      <w:r w:rsidR="00827868" w:rsidRPr="00200036">
        <w:rPr>
          <w:rFonts w:eastAsia="Calibri"/>
          <w:lang w:eastAsia="en-US"/>
        </w:rPr>
        <w:t xml:space="preserve">реалізація повноважень </w:t>
      </w:r>
      <w:r w:rsidR="00827868" w:rsidRPr="00E121EA">
        <w:rPr>
          <w:rFonts w:eastAsia="Calibri"/>
          <w:lang w:eastAsia="en-US"/>
        </w:rPr>
        <w:t xml:space="preserve">Національного банку, визначених </w:t>
      </w:r>
      <w:r w:rsidR="00F81AB7" w:rsidRPr="00E121EA">
        <w:rPr>
          <w:rFonts w:eastAsia="Calibri"/>
          <w:lang w:eastAsia="en-US"/>
        </w:rPr>
        <w:t xml:space="preserve">новим Законом </w:t>
      </w:r>
      <w:r w:rsidR="00D06522" w:rsidRPr="00E121EA">
        <w:rPr>
          <w:rFonts w:eastAsia="Calibri"/>
          <w:lang w:eastAsia="en-US"/>
        </w:rPr>
        <w:t>про страхування</w:t>
      </w:r>
      <w:r w:rsidR="00085A49" w:rsidRPr="00E121EA">
        <w:rPr>
          <w:rFonts w:eastAsia="Calibri"/>
          <w:lang w:eastAsia="en-US"/>
        </w:rPr>
        <w:t xml:space="preserve">, а саме: визначення </w:t>
      </w:r>
      <w:r w:rsidR="00085A49" w:rsidRPr="00E121EA">
        <w:t>вимог до системи управління страховика</w:t>
      </w:r>
      <w:r w:rsidR="00A86131" w:rsidRPr="00E121EA">
        <w:t xml:space="preserve"> </w:t>
      </w:r>
      <w:r w:rsidR="00A86131" w:rsidRPr="007625E4">
        <w:rPr>
          <w:shd w:val="clear" w:color="auto" w:fill="FFFFFF"/>
        </w:rPr>
        <w:t>та здійснення контролю за їх дотриманням</w:t>
      </w:r>
      <w:r w:rsidR="00E121EA" w:rsidRPr="007625E4">
        <w:rPr>
          <w:shd w:val="clear" w:color="auto" w:fill="FFFFFF"/>
        </w:rPr>
        <w:t>,</w:t>
      </w:r>
      <w:r w:rsidR="00F81AB7" w:rsidRPr="007625E4">
        <w:rPr>
          <w:shd w:val="clear" w:color="auto" w:fill="FFFFFF"/>
        </w:rPr>
        <w:t xml:space="preserve"> визначення критеріїв віднесення страховиків до категорії значимих страховиків</w:t>
      </w:r>
      <w:r w:rsidR="00E466F4" w:rsidRPr="00E121EA">
        <w:rPr>
          <w:rFonts w:eastAsia="Calibri"/>
          <w:lang w:eastAsia="en-US"/>
        </w:rPr>
        <w:t>.</w:t>
      </w:r>
      <w:r w:rsidRPr="00E121EA">
        <w:rPr>
          <w:lang w:eastAsia="ru-RU"/>
        </w:rPr>
        <w:t xml:space="preserve"> </w:t>
      </w:r>
    </w:p>
    <w:p w14:paraId="3CF05D0E" w14:textId="77777777" w:rsidR="00346C90" w:rsidRPr="00200036" w:rsidRDefault="00346C90" w:rsidP="00C67A22">
      <w:pPr>
        <w:widowControl w:val="0"/>
        <w:ind w:firstLine="567"/>
        <w:rPr>
          <w:lang w:eastAsia="zh-CN"/>
        </w:rPr>
      </w:pPr>
    </w:p>
    <w:p w14:paraId="6C2EB627" w14:textId="77777777" w:rsidR="00346C90" w:rsidRPr="00200036" w:rsidRDefault="00346C90" w:rsidP="00C67A22">
      <w:pPr>
        <w:widowControl w:val="0"/>
        <w:ind w:firstLine="567"/>
        <w:rPr>
          <w:b/>
          <w:lang w:eastAsia="zh-CN"/>
        </w:rPr>
      </w:pPr>
      <w:r w:rsidRPr="00200036">
        <w:rPr>
          <w:b/>
          <w:lang w:eastAsia="zh-CN"/>
        </w:rPr>
        <w:t xml:space="preserve">ІІІ. Визначення та оцінка всіх прийнятних альтернативних способів досягнення </w:t>
      </w:r>
      <w:r w:rsidR="0043384B" w:rsidRPr="00200036">
        <w:rPr>
          <w:b/>
          <w:lang w:eastAsia="zh-CN"/>
        </w:rPr>
        <w:t xml:space="preserve">зазначених </w:t>
      </w:r>
      <w:r w:rsidRPr="00200036">
        <w:rPr>
          <w:b/>
          <w:lang w:eastAsia="zh-CN"/>
        </w:rPr>
        <w:t>цілей</w:t>
      </w:r>
      <w:r w:rsidR="0043384B" w:rsidRPr="00200036">
        <w:rPr>
          <w:b/>
          <w:lang w:eastAsia="zh-CN"/>
        </w:rPr>
        <w:t xml:space="preserve">, наведення аргументів щодо </w:t>
      </w:r>
      <w:r w:rsidRPr="00200036">
        <w:rPr>
          <w:b/>
          <w:lang w:eastAsia="zh-CN"/>
        </w:rPr>
        <w:t>переваг</w:t>
      </w:r>
      <w:r w:rsidR="0043384B" w:rsidRPr="00200036">
        <w:rPr>
          <w:b/>
          <w:lang w:eastAsia="zh-CN"/>
        </w:rPr>
        <w:t>и</w:t>
      </w:r>
      <w:r w:rsidRPr="00200036">
        <w:rPr>
          <w:b/>
          <w:lang w:eastAsia="zh-CN"/>
        </w:rPr>
        <w:t xml:space="preserve"> обраного способу</w:t>
      </w:r>
    </w:p>
    <w:p w14:paraId="570EEEBA" w14:textId="77777777" w:rsidR="00C1756D" w:rsidRPr="00200036" w:rsidRDefault="007314D7" w:rsidP="00C67A22">
      <w:pPr>
        <w:widowControl w:val="0"/>
        <w:ind w:firstLine="567"/>
      </w:pPr>
      <w:r w:rsidRPr="00200036">
        <w:t>Альтернативним способом досягнення зазначених цілей може бути залишення наявного стану законодавства України</w:t>
      </w:r>
      <w:r w:rsidR="00C1756D" w:rsidRPr="00200036">
        <w:t xml:space="preserve"> у сфері страхування</w:t>
      </w:r>
      <w:r w:rsidRPr="00200036">
        <w:t xml:space="preserve">, що не відповідає вимогам </w:t>
      </w:r>
      <w:r w:rsidR="000A47EF" w:rsidRPr="00200036">
        <w:rPr>
          <w:rFonts w:eastAsia="Calibri"/>
          <w:lang w:eastAsia="en-US"/>
        </w:rPr>
        <w:t>нового Закону про страхування</w:t>
      </w:r>
      <w:r w:rsidRPr="00200036">
        <w:t xml:space="preserve">. </w:t>
      </w:r>
    </w:p>
    <w:p w14:paraId="72E93972" w14:textId="65B52C15" w:rsidR="00C1756D" w:rsidRPr="00200036" w:rsidRDefault="007314D7" w:rsidP="00C67A22">
      <w:pPr>
        <w:widowControl w:val="0"/>
        <w:ind w:firstLine="567"/>
      </w:pPr>
      <w:r w:rsidRPr="00200036">
        <w:t>Перевагами такого способу досягнення встановлених цілей є збереження наявного стану законодавства України, а саме застосування чинних нормативно-пра</w:t>
      </w:r>
      <w:r w:rsidR="00D07F77">
        <w:t>во</w:t>
      </w:r>
      <w:r w:rsidRPr="00200036">
        <w:t>вих</w:t>
      </w:r>
      <w:r w:rsidR="006D76DC" w:rsidRPr="00200036">
        <w:t xml:space="preserve"> актів</w:t>
      </w:r>
      <w:r w:rsidRPr="00200036">
        <w:t xml:space="preserve"> </w:t>
      </w:r>
      <w:r w:rsidR="00085A49" w:rsidRPr="00200036">
        <w:t>Нацкомфінпослуг</w:t>
      </w:r>
      <w:r w:rsidR="00D07F77">
        <w:t xml:space="preserve"> </w:t>
      </w:r>
      <w:r w:rsidR="00085A49" w:rsidRPr="00200036">
        <w:t>у сфері регулювання діяльності на ринку страхування</w:t>
      </w:r>
      <w:r w:rsidRPr="00200036">
        <w:t xml:space="preserve">. Однак у такому </w:t>
      </w:r>
      <w:r w:rsidR="006D76DC" w:rsidRPr="00200036">
        <w:t>разі</w:t>
      </w:r>
      <w:r w:rsidRPr="00200036">
        <w:t xml:space="preserve"> невідповідність законодавства України </w:t>
      </w:r>
      <w:r w:rsidR="00D07F77">
        <w:t>в</w:t>
      </w:r>
      <w:r w:rsidR="00A74E42" w:rsidRPr="00200036">
        <w:t xml:space="preserve"> </w:t>
      </w:r>
      <w:r w:rsidRPr="00200036">
        <w:t xml:space="preserve">цій </w:t>
      </w:r>
      <w:r w:rsidRPr="00200036">
        <w:lastRenderedPageBreak/>
        <w:t>сфері не дасть змог</w:t>
      </w:r>
      <w:r w:rsidR="00A74E42">
        <w:t>и</w:t>
      </w:r>
      <w:r w:rsidRPr="00200036">
        <w:t xml:space="preserve"> реалізувати повноваження Національного банку, визначені </w:t>
      </w:r>
      <w:r w:rsidR="000A47EF" w:rsidRPr="00200036">
        <w:rPr>
          <w:rFonts w:eastAsia="Calibri"/>
          <w:lang w:eastAsia="en-US"/>
        </w:rPr>
        <w:t>новим Законом про страхування</w:t>
      </w:r>
      <w:r w:rsidR="000A47EF" w:rsidRPr="00200036">
        <w:t xml:space="preserve"> </w:t>
      </w:r>
      <w:r w:rsidR="000862BF" w:rsidRPr="00200036">
        <w:t>та Закон</w:t>
      </w:r>
      <w:r w:rsidR="00830DBE" w:rsidRPr="00200036">
        <w:t>ом</w:t>
      </w:r>
      <w:r w:rsidR="000862BF" w:rsidRPr="00200036">
        <w:t xml:space="preserve"> України “Про Національний банк України”</w:t>
      </w:r>
      <w:r w:rsidRPr="00200036">
        <w:t xml:space="preserve">. </w:t>
      </w:r>
    </w:p>
    <w:p w14:paraId="784DCF7C" w14:textId="77777777" w:rsidR="00C1756D" w:rsidRPr="00200036" w:rsidRDefault="007314D7" w:rsidP="00C67A22">
      <w:pPr>
        <w:widowControl w:val="0"/>
        <w:ind w:firstLine="567"/>
      </w:pPr>
      <w:r w:rsidRPr="00200036">
        <w:t xml:space="preserve">Отже, застосування такого альтернативного способу досягнення зазначених цілей та вирішення проблеми таким способом не є прийнятним. </w:t>
      </w:r>
    </w:p>
    <w:p w14:paraId="5C1DB8AA" w14:textId="3F809DBD" w:rsidR="00346C90" w:rsidRPr="00200036" w:rsidRDefault="007314D7" w:rsidP="00C67A22">
      <w:pPr>
        <w:widowControl w:val="0"/>
        <w:ind w:firstLine="567"/>
        <w:rPr>
          <w:lang w:eastAsia="ru-RU"/>
        </w:rPr>
      </w:pPr>
      <w:r w:rsidRPr="00200036">
        <w:t>Іншим альтернативним способом досягнення встановлених цілей є прийняття запропонованого регуляторного акта</w:t>
      </w:r>
      <w:r w:rsidR="00C1756D" w:rsidRPr="00200036">
        <w:t xml:space="preserve">, перевагами якого є </w:t>
      </w:r>
      <w:r w:rsidR="00711681" w:rsidRPr="00200036">
        <w:rPr>
          <w:sz w:val="29"/>
          <w:szCs w:val="29"/>
          <w:lang w:eastAsia="en-US"/>
        </w:rPr>
        <w:t>приведення</w:t>
      </w:r>
      <w:r w:rsidR="00A74E42">
        <w:rPr>
          <w:sz w:val="29"/>
          <w:szCs w:val="29"/>
          <w:lang w:eastAsia="en-US"/>
        </w:rPr>
        <w:t xml:space="preserve"> діяльності страховиків</w:t>
      </w:r>
      <w:r w:rsidR="00711681" w:rsidRPr="00200036">
        <w:rPr>
          <w:sz w:val="29"/>
          <w:szCs w:val="29"/>
          <w:lang w:eastAsia="en-US"/>
        </w:rPr>
        <w:t xml:space="preserve"> у відповідність </w:t>
      </w:r>
      <w:r w:rsidR="00085A49" w:rsidRPr="00200036">
        <w:rPr>
          <w:sz w:val="29"/>
          <w:szCs w:val="29"/>
          <w:lang w:eastAsia="en-US"/>
        </w:rPr>
        <w:t xml:space="preserve">до вимог </w:t>
      </w:r>
      <w:r w:rsidR="00085A49" w:rsidRPr="00200036">
        <w:rPr>
          <w:rFonts w:eastAsia="Calibri"/>
          <w:lang w:eastAsia="en-US"/>
        </w:rPr>
        <w:t>нового Закону про страхування</w:t>
      </w:r>
      <w:r w:rsidR="00346C90" w:rsidRPr="00200036">
        <w:rPr>
          <w:lang w:eastAsia="ru-RU"/>
        </w:rPr>
        <w:t>.</w:t>
      </w:r>
    </w:p>
    <w:p w14:paraId="7B422BE5" w14:textId="5CBDEE85" w:rsidR="00A85102" w:rsidRPr="00200036" w:rsidRDefault="00A85102" w:rsidP="00C67A22">
      <w:pPr>
        <w:widowControl w:val="0"/>
        <w:ind w:firstLine="567"/>
        <w:rPr>
          <w:sz w:val="29"/>
          <w:szCs w:val="29"/>
          <w:lang w:eastAsia="en-US"/>
        </w:rPr>
      </w:pPr>
      <w:r w:rsidRPr="00200036">
        <w:t>Недоліками такого способу є можливі додаткові витрати страхови</w:t>
      </w:r>
      <w:r w:rsidR="00085A49" w:rsidRPr="00200036">
        <w:t>ків</w:t>
      </w:r>
      <w:r w:rsidRPr="00200036">
        <w:t>, пов’язані з приведенням</w:t>
      </w:r>
      <w:r w:rsidR="0064493C" w:rsidRPr="008B5F2F">
        <w:rPr>
          <w:lang w:val="ru-RU"/>
        </w:rPr>
        <w:t xml:space="preserve"> </w:t>
      </w:r>
      <w:r w:rsidR="0064493C" w:rsidRPr="001D5282">
        <w:t>св</w:t>
      </w:r>
      <w:r w:rsidR="0064493C">
        <w:t>оєї</w:t>
      </w:r>
      <w:r w:rsidR="0064493C" w:rsidRPr="001D5282">
        <w:t xml:space="preserve"> діяльн</w:t>
      </w:r>
      <w:r w:rsidR="0064493C">
        <w:t>о</w:t>
      </w:r>
      <w:r w:rsidR="0064493C" w:rsidRPr="001D5282">
        <w:t>ст</w:t>
      </w:r>
      <w:r w:rsidR="0064493C">
        <w:t>і</w:t>
      </w:r>
      <w:r w:rsidRPr="00200036">
        <w:t xml:space="preserve"> у відповідність до вимог регуляторного акта.</w:t>
      </w:r>
    </w:p>
    <w:p w14:paraId="349ADDBD" w14:textId="726917A3" w:rsidR="00346C90" w:rsidRPr="00200036" w:rsidRDefault="00346C90" w:rsidP="00C67A22">
      <w:pPr>
        <w:widowControl w:val="0"/>
        <w:ind w:firstLine="567"/>
        <w:rPr>
          <w:lang w:eastAsia="ru-RU"/>
        </w:rPr>
      </w:pPr>
      <w:r w:rsidRPr="00200036">
        <w:rPr>
          <w:lang w:eastAsia="ru-RU"/>
        </w:rPr>
        <w:t xml:space="preserve">Тому Національний банк </w:t>
      </w:r>
      <w:r w:rsidR="001A3C01" w:rsidRPr="00200036">
        <w:rPr>
          <w:lang w:eastAsia="ru-RU"/>
        </w:rPr>
        <w:t xml:space="preserve">з урахуванням положень </w:t>
      </w:r>
      <w:r w:rsidR="000A47EF" w:rsidRPr="00200036">
        <w:rPr>
          <w:rFonts w:eastAsia="Calibri"/>
          <w:lang w:eastAsia="en-US"/>
        </w:rPr>
        <w:t>нового Закону про страхування</w:t>
      </w:r>
      <w:r w:rsidR="001A3C01" w:rsidRPr="00200036">
        <w:rPr>
          <w:lang w:eastAsia="ru-RU"/>
        </w:rPr>
        <w:t xml:space="preserve"> </w:t>
      </w:r>
      <w:r w:rsidRPr="00200036">
        <w:rPr>
          <w:lang w:eastAsia="ru-RU"/>
        </w:rPr>
        <w:t xml:space="preserve">обрав варіант прийняття запропонованого </w:t>
      </w:r>
      <w:r w:rsidRPr="002B7694">
        <w:rPr>
          <w:lang w:eastAsia="ru-RU"/>
        </w:rPr>
        <w:t>регуляторного акта як</w:t>
      </w:r>
      <w:r w:rsidRPr="00200036">
        <w:rPr>
          <w:lang w:eastAsia="ru-RU"/>
        </w:rPr>
        <w:t xml:space="preserve"> найкращий спосіб досягнення зазначених цілей. </w:t>
      </w:r>
    </w:p>
    <w:p w14:paraId="343964B7" w14:textId="77777777" w:rsidR="00346C90" w:rsidRPr="00200036" w:rsidRDefault="00346C90" w:rsidP="00C67A22">
      <w:pPr>
        <w:widowControl w:val="0"/>
        <w:ind w:firstLine="567"/>
        <w:rPr>
          <w:lang w:eastAsia="zh-CN"/>
        </w:rPr>
      </w:pPr>
    </w:p>
    <w:p w14:paraId="18D99E25" w14:textId="77777777" w:rsidR="000862BF" w:rsidRPr="00200036" w:rsidRDefault="00346C90" w:rsidP="00C67A22">
      <w:pPr>
        <w:widowControl w:val="0"/>
        <w:ind w:firstLine="567"/>
        <w:rPr>
          <w:b/>
          <w:lang w:eastAsia="zh-CN"/>
        </w:rPr>
      </w:pPr>
      <w:r w:rsidRPr="00200036">
        <w:rPr>
          <w:b/>
          <w:lang w:eastAsia="zh-CN"/>
        </w:rPr>
        <w:t>ІV. Опис механізм</w:t>
      </w:r>
      <w:r w:rsidR="0043384B" w:rsidRPr="00200036">
        <w:rPr>
          <w:b/>
          <w:lang w:eastAsia="zh-CN"/>
        </w:rPr>
        <w:t>у</w:t>
      </w:r>
      <w:r w:rsidRPr="00200036">
        <w:rPr>
          <w:b/>
          <w:lang w:eastAsia="zh-CN"/>
        </w:rPr>
        <w:t>, як</w:t>
      </w:r>
      <w:r w:rsidR="0043384B" w:rsidRPr="00200036">
        <w:rPr>
          <w:b/>
          <w:lang w:eastAsia="zh-CN"/>
        </w:rPr>
        <w:t>ий</w:t>
      </w:r>
      <w:r w:rsidRPr="00200036">
        <w:rPr>
          <w:b/>
          <w:lang w:eastAsia="zh-CN"/>
        </w:rPr>
        <w:t xml:space="preserve"> </w:t>
      </w:r>
      <w:r w:rsidR="0043384B" w:rsidRPr="00200036">
        <w:rPr>
          <w:b/>
          <w:lang w:eastAsia="zh-CN"/>
        </w:rPr>
        <w:t xml:space="preserve">пропонується застосувати для розв’язання проблеми, і відповідні заходи </w:t>
      </w:r>
    </w:p>
    <w:p w14:paraId="34D259AE" w14:textId="4F2473D6" w:rsidR="00200036" w:rsidRDefault="0094698C" w:rsidP="00C67A22">
      <w:pPr>
        <w:widowControl w:val="0"/>
        <w:ind w:firstLine="567"/>
        <w:rPr>
          <w:sz w:val="29"/>
          <w:szCs w:val="29"/>
          <w:lang w:eastAsia="en-US"/>
        </w:rPr>
      </w:pPr>
      <w:r w:rsidRPr="00200036">
        <w:rPr>
          <w:sz w:val="29"/>
          <w:szCs w:val="29"/>
          <w:lang w:eastAsia="en-US"/>
        </w:rPr>
        <w:t>Регуляторний акт в</w:t>
      </w:r>
      <w:r w:rsidR="00724CAD">
        <w:rPr>
          <w:sz w:val="29"/>
          <w:szCs w:val="29"/>
          <w:lang w:eastAsia="en-US"/>
        </w:rPr>
        <w:t>становлює</w:t>
      </w:r>
      <w:r w:rsidR="00200036">
        <w:rPr>
          <w:sz w:val="29"/>
          <w:szCs w:val="29"/>
          <w:lang w:eastAsia="en-US"/>
        </w:rPr>
        <w:t>:</w:t>
      </w:r>
      <w:r w:rsidRPr="00200036">
        <w:rPr>
          <w:sz w:val="29"/>
          <w:szCs w:val="29"/>
          <w:lang w:eastAsia="en-US"/>
        </w:rPr>
        <w:t xml:space="preserve"> </w:t>
      </w:r>
    </w:p>
    <w:p w14:paraId="04C7498C" w14:textId="7527E299" w:rsidR="00200036" w:rsidRDefault="0094698C" w:rsidP="00C67A22">
      <w:pPr>
        <w:ind w:firstLine="567"/>
        <w:rPr>
          <w:shd w:val="clear" w:color="auto" w:fill="FFFFFF"/>
        </w:rPr>
      </w:pPr>
      <w:r w:rsidRPr="00200036">
        <w:t xml:space="preserve">вимоги до </w:t>
      </w:r>
      <w:r w:rsidRPr="00200036">
        <w:rPr>
          <w:shd w:val="clear" w:color="auto" w:fill="FFFFFF"/>
        </w:rPr>
        <w:t>системи управління страховика</w:t>
      </w:r>
      <w:r w:rsidR="00724CAD">
        <w:rPr>
          <w:shd w:val="clear" w:color="auto" w:fill="FFFFFF"/>
        </w:rPr>
        <w:t xml:space="preserve"> та порядок здійснення </w:t>
      </w:r>
      <w:r w:rsidR="00A74E42">
        <w:rPr>
          <w:shd w:val="clear" w:color="auto" w:fill="FFFFFF"/>
        </w:rPr>
        <w:t xml:space="preserve">Національним банком </w:t>
      </w:r>
      <w:r w:rsidR="00724CAD">
        <w:rPr>
          <w:shd w:val="clear" w:color="auto" w:fill="FFFFFF"/>
        </w:rPr>
        <w:t>контролю за їх дотриманням;</w:t>
      </w:r>
      <w:r w:rsidR="00702CEC" w:rsidRPr="00200036">
        <w:rPr>
          <w:shd w:val="clear" w:color="auto" w:fill="FFFFFF"/>
        </w:rPr>
        <w:t xml:space="preserve"> </w:t>
      </w:r>
    </w:p>
    <w:p w14:paraId="6C5D3176" w14:textId="162D0C95" w:rsidR="00200036" w:rsidRDefault="00DE3FA7" w:rsidP="00C67A22">
      <w:pPr>
        <w:ind w:firstLine="567"/>
        <w:rPr>
          <w:shd w:val="clear" w:color="auto" w:fill="FFFFFF"/>
        </w:rPr>
      </w:pPr>
      <w:r w:rsidRPr="00200036">
        <w:rPr>
          <w:shd w:val="clear" w:color="auto" w:fill="FFFFFF"/>
        </w:rPr>
        <w:t>вимоги до внутрішніх документів страховика, які необхідно прийняти та запровадити для ефективної побудови системи управління страховика (стратегії</w:t>
      </w:r>
      <w:r w:rsidR="006B3675">
        <w:rPr>
          <w:shd w:val="clear" w:color="auto" w:fill="FFFFFF"/>
        </w:rPr>
        <w:t> </w:t>
      </w:r>
      <w:r w:rsidRPr="00200036">
        <w:rPr>
          <w:shd w:val="clear" w:color="auto" w:fill="FFFFFF"/>
        </w:rPr>
        <w:t>/політик</w:t>
      </w:r>
      <w:r w:rsidR="00A74E42">
        <w:rPr>
          <w:shd w:val="clear" w:color="auto" w:fill="FFFFFF"/>
        </w:rPr>
        <w:t>а</w:t>
      </w:r>
      <w:r w:rsidR="006B3675">
        <w:rPr>
          <w:shd w:val="clear" w:color="auto" w:fill="FFFFFF"/>
        </w:rPr>
        <w:t> </w:t>
      </w:r>
      <w:r w:rsidRPr="00200036">
        <w:rPr>
          <w:shd w:val="clear" w:color="auto" w:fill="FFFFFF"/>
        </w:rPr>
        <w:t>/</w:t>
      </w:r>
      <w:r w:rsidR="006B3675">
        <w:rPr>
          <w:shd w:val="clear" w:color="auto" w:fill="FFFFFF"/>
        </w:rPr>
        <w:t> </w:t>
      </w:r>
      <w:r w:rsidRPr="00200036">
        <w:rPr>
          <w:shd w:val="clear" w:color="auto" w:fill="FFFFFF"/>
        </w:rPr>
        <w:t>положення)</w:t>
      </w:r>
      <w:r w:rsidR="00200036">
        <w:rPr>
          <w:shd w:val="clear" w:color="auto" w:fill="FFFFFF"/>
        </w:rPr>
        <w:t>;</w:t>
      </w:r>
      <w:r w:rsidRPr="00200036">
        <w:rPr>
          <w:shd w:val="clear" w:color="auto" w:fill="FFFFFF"/>
        </w:rPr>
        <w:t xml:space="preserve"> </w:t>
      </w:r>
    </w:p>
    <w:p w14:paraId="301DAEE0" w14:textId="786E131D" w:rsidR="00E4688E" w:rsidRDefault="00E4688E" w:rsidP="00C67A22">
      <w:pPr>
        <w:ind w:firstLine="567"/>
        <w:rPr>
          <w:shd w:val="clear" w:color="auto" w:fill="FFFFFF"/>
        </w:rPr>
      </w:pPr>
      <w:r>
        <w:t>в</w:t>
      </w:r>
      <w:r w:rsidRPr="00752EC0">
        <w:t>имоги щодо виявлення, запобігання та управління конфліктами інтересів у страховику</w:t>
      </w:r>
      <w:r w:rsidR="00A74E42">
        <w:t>;</w:t>
      </w:r>
    </w:p>
    <w:p w14:paraId="70320234" w14:textId="6C1D4476" w:rsidR="00200036" w:rsidRPr="00D93BC2" w:rsidRDefault="00724CAD" w:rsidP="00C67A22">
      <w:pPr>
        <w:ind w:firstLine="567"/>
        <w:rPr>
          <w:shd w:val="clear" w:color="auto" w:fill="FFFFFF"/>
        </w:rPr>
      </w:pPr>
      <w:r w:rsidRPr="00F40B60">
        <w:rPr>
          <w:shd w:val="clear" w:color="auto" w:fill="FFFFFF"/>
        </w:rPr>
        <w:t>критерії віднесення страховиків до категорії значимих страховиків</w:t>
      </w:r>
      <w:r w:rsidR="00702CEC" w:rsidRPr="00D93BC2">
        <w:rPr>
          <w:shd w:val="clear" w:color="auto" w:fill="FFFFFF"/>
        </w:rPr>
        <w:t>, залежно від встановлення яких відрізняються вимоги до побудови системи управління страховика</w:t>
      </w:r>
      <w:r w:rsidR="00200036" w:rsidRPr="00D93BC2">
        <w:rPr>
          <w:shd w:val="clear" w:color="auto" w:fill="FFFFFF"/>
        </w:rPr>
        <w:t>;</w:t>
      </w:r>
      <w:r w:rsidR="00702CEC" w:rsidRPr="00D93BC2">
        <w:rPr>
          <w:shd w:val="clear" w:color="auto" w:fill="FFFFFF"/>
        </w:rPr>
        <w:t xml:space="preserve"> </w:t>
      </w:r>
    </w:p>
    <w:p w14:paraId="498B7715" w14:textId="5948737D" w:rsidR="009E4D3B" w:rsidRPr="00546DA0" w:rsidRDefault="009E4D3B" w:rsidP="00C67A22">
      <w:pPr>
        <w:ind w:firstLine="567"/>
        <w:rPr>
          <w:shd w:val="clear" w:color="auto" w:fill="FFFFFF"/>
        </w:rPr>
      </w:pPr>
      <w:r w:rsidRPr="00546DA0">
        <w:rPr>
          <w:shd w:val="clear" w:color="auto" w:fill="FFFFFF"/>
        </w:rPr>
        <w:t xml:space="preserve">вимоги до побудови системи </w:t>
      </w:r>
      <w:r w:rsidR="0044161A" w:rsidRPr="00546DA0">
        <w:rPr>
          <w:shd w:val="clear" w:color="auto" w:fill="FFFFFF"/>
        </w:rPr>
        <w:t>внутрішнього контролю</w:t>
      </w:r>
      <w:r w:rsidRPr="00546DA0">
        <w:rPr>
          <w:shd w:val="clear" w:color="auto" w:fill="FFFFFF"/>
        </w:rPr>
        <w:t>, включаючи</w:t>
      </w:r>
      <w:r w:rsidR="0044161A" w:rsidRPr="00546DA0">
        <w:rPr>
          <w:shd w:val="clear" w:color="auto" w:fill="FFFFFF"/>
        </w:rPr>
        <w:t xml:space="preserve"> </w:t>
      </w:r>
      <w:r w:rsidR="00546DA0" w:rsidRPr="00546DA0">
        <w:rPr>
          <w:shd w:val="clear" w:color="auto" w:fill="FFFFFF"/>
        </w:rPr>
        <w:t xml:space="preserve">вимоги до організаційної структури страховика на основі моделі трьох ліній захисту, внутрішніх документів та встановлення мінімального переліку питань щодо внутрішнього контролю, які мають бути врегульовані </w:t>
      </w:r>
      <w:r w:rsidR="00A74E42">
        <w:rPr>
          <w:shd w:val="clear" w:color="auto" w:fill="FFFFFF"/>
        </w:rPr>
        <w:t>в</w:t>
      </w:r>
      <w:r w:rsidR="00A74E42" w:rsidRPr="00546DA0">
        <w:rPr>
          <w:shd w:val="clear" w:color="auto" w:fill="FFFFFF"/>
        </w:rPr>
        <w:t xml:space="preserve"> </w:t>
      </w:r>
      <w:r w:rsidR="00546DA0" w:rsidRPr="00546DA0">
        <w:rPr>
          <w:shd w:val="clear" w:color="auto" w:fill="FFFFFF"/>
        </w:rPr>
        <w:t>таких документах, визначення компонентів системи внутрішнього контролю та заходів, дотримання яких свідчить про належне впровадження та функціонування кожного з компонентів системи внутрішнього контролю</w:t>
      </w:r>
      <w:r w:rsidR="00546DA0">
        <w:rPr>
          <w:shd w:val="clear" w:color="auto" w:fill="FFFFFF"/>
        </w:rPr>
        <w:t>;</w:t>
      </w:r>
    </w:p>
    <w:p w14:paraId="06643394" w14:textId="0B28E166" w:rsidR="00200036" w:rsidRDefault="00702CEC" w:rsidP="00C67A22">
      <w:pPr>
        <w:ind w:firstLine="567"/>
      </w:pPr>
      <w:r w:rsidRPr="00200036">
        <w:rPr>
          <w:shd w:val="clear" w:color="auto" w:fill="FFFFFF"/>
        </w:rPr>
        <w:t xml:space="preserve">особливості організації та виконання ключових функцій страховика </w:t>
      </w:r>
      <w:r w:rsidR="00A74E42">
        <w:rPr>
          <w:shd w:val="clear" w:color="auto" w:fill="FFFFFF"/>
        </w:rPr>
        <w:t>[</w:t>
      </w:r>
      <w:r w:rsidRPr="00200036">
        <w:rPr>
          <w:shd w:val="clear" w:color="auto" w:fill="FFFFFF"/>
        </w:rPr>
        <w:t xml:space="preserve">актуарної функції, функції контролю </w:t>
      </w:r>
      <w:r w:rsidRPr="00200036">
        <w:t>за дотриманням норм (комплаєнс), внутрішнього аудиту та управління ризиками</w:t>
      </w:r>
      <w:r w:rsidR="00A74E42">
        <w:t>]</w:t>
      </w:r>
      <w:r w:rsidR="00200036">
        <w:t>;</w:t>
      </w:r>
    </w:p>
    <w:p w14:paraId="4D1B6B2A" w14:textId="751BAB6A" w:rsidR="00200036" w:rsidRDefault="00200036" w:rsidP="00C67A22">
      <w:pPr>
        <w:ind w:firstLine="567"/>
      </w:pPr>
      <w:r>
        <w:t xml:space="preserve">вимоги до побудови системи управління ризиками, </w:t>
      </w:r>
      <w:r w:rsidR="00A74E42">
        <w:t>у</w:t>
      </w:r>
      <w:r>
        <w:t xml:space="preserve">ключаючи визначення суттєвих ризиків, особливості управління ризиками за напрямами, визначеними статтею 29 нового Закону про страхування, встановлення вимог до оцінки </w:t>
      </w:r>
      <w:r>
        <w:lastRenderedPageBreak/>
        <w:t xml:space="preserve">ризиків та вимог до звітування страховика з управління ризиками </w:t>
      </w:r>
      <w:r w:rsidRPr="00D93BC2">
        <w:t>раді</w:t>
      </w:r>
      <w:r>
        <w:t xml:space="preserve"> страховика та іншим внутрішнім користувачам такої звітності;</w:t>
      </w:r>
      <w:r w:rsidR="00702CEC" w:rsidRPr="00200036">
        <w:t xml:space="preserve"> </w:t>
      </w:r>
    </w:p>
    <w:p w14:paraId="2FEAFF27" w14:textId="418BEA42" w:rsidR="00085A49" w:rsidRPr="00200036" w:rsidRDefault="00724CAD" w:rsidP="00C67A22">
      <w:pPr>
        <w:ind w:firstLine="567"/>
      </w:pPr>
      <w:r>
        <w:t>вимоги до</w:t>
      </w:r>
      <w:r w:rsidRPr="00200036">
        <w:t xml:space="preserve"> звітів</w:t>
      </w:r>
      <w:r>
        <w:t>,</w:t>
      </w:r>
      <w:r w:rsidRPr="00200036">
        <w:t xml:space="preserve"> </w:t>
      </w:r>
      <w:r w:rsidR="00702CEC" w:rsidRPr="00200036">
        <w:t xml:space="preserve">порядок </w:t>
      </w:r>
      <w:r>
        <w:t xml:space="preserve">їх </w:t>
      </w:r>
      <w:r w:rsidR="00702CEC" w:rsidRPr="00200036">
        <w:t>подання</w:t>
      </w:r>
      <w:r w:rsidR="006B3675">
        <w:t>, а</w:t>
      </w:r>
      <w:r>
        <w:t xml:space="preserve"> </w:t>
      </w:r>
      <w:r w:rsidR="00702CEC" w:rsidRPr="00200036">
        <w:t>та</w:t>
      </w:r>
      <w:r w:rsidR="006B3675">
        <w:t>кож порядок подання</w:t>
      </w:r>
      <w:r w:rsidR="00702CEC" w:rsidRPr="00200036">
        <w:t xml:space="preserve"> інших документів до Національного банку щодо виконання окремих ключових функцій страховика. </w:t>
      </w:r>
    </w:p>
    <w:p w14:paraId="654B4D4A" w14:textId="77777777" w:rsidR="00346C90" w:rsidRPr="00200036" w:rsidRDefault="00346C90" w:rsidP="00C67A22">
      <w:pPr>
        <w:widowControl w:val="0"/>
        <w:ind w:firstLine="567"/>
      </w:pPr>
      <w:r w:rsidRPr="00200036">
        <w:t xml:space="preserve">Ступінь ефективності </w:t>
      </w:r>
      <w:r w:rsidR="002566B7" w:rsidRPr="00200036">
        <w:t>цього</w:t>
      </w:r>
      <w:r w:rsidRPr="00200036">
        <w:t xml:space="preserve"> регуляторного акта оцінювати</w:t>
      </w:r>
      <w:r w:rsidR="002566B7" w:rsidRPr="00200036">
        <w:t>меть</w:t>
      </w:r>
      <w:r w:rsidRPr="00200036">
        <w:t xml:space="preserve">ся за результатами </w:t>
      </w:r>
      <w:r w:rsidR="00513471" w:rsidRPr="00200036">
        <w:t xml:space="preserve">аналізу </w:t>
      </w:r>
      <w:r w:rsidR="005B64E5" w:rsidRPr="00200036">
        <w:t xml:space="preserve">показників діяльності </w:t>
      </w:r>
      <w:r w:rsidR="00200036">
        <w:t>страховиків</w:t>
      </w:r>
      <w:r w:rsidR="005B64E5" w:rsidRPr="00200036">
        <w:t>.</w:t>
      </w:r>
    </w:p>
    <w:p w14:paraId="14E0ECB9" w14:textId="77777777" w:rsidR="00346C90" w:rsidRPr="00200036" w:rsidRDefault="00346C90" w:rsidP="00C67A22">
      <w:pPr>
        <w:widowControl w:val="0"/>
        <w:ind w:firstLine="567"/>
        <w:rPr>
          <w:lang w:eastAsia="zh-CN"/>
        </w:rPr>
      </w:pPr>
    </w:p>
    <w:p w14:paraId="13E62AB5" w14:textId="77777777" w:rsidR="00346C90" w:rsidRPr="00200036" w:rsidRDefault="00346C90" w:rsidP="00C67A22">
      <w:pPr>
        <w:widowControl w:val="0"/>
        <w:ind w:firstLine="567"/>
        <w:rPr>
          <w:rFonts w:ascii="Courier New" w:eastAsia="Arial Unicode MS" w:hAnsi="Courier New" w:cs="Courier New"/>
          <w:b/>
          <w:lang w:eastAsia="zh-CN"/>
        </w:rPr>
      </w:pPr>
      <w:r w:rsidRPr="00200036">
        <w:rPr>
          <w:rFonts w:eastAsia="Arial Unicode MS"/>
          <w:b/>
          <w:lang w:eastAsia="zh-CN"/>
        </w:rPr>
        <w:t xml:space="preserve">V. Обґрунтування можливості досягнення </w:t>
      </w:r>
      <w:r w:rsidR="0043384B" w:rsidRPr="00200036">
        <w:rPr>
          <w:rFonts w:eastAsia="Arial Unicode MS"/>
          <w:b/>
          <w:lang w:eastAsia="zh-CN"/>
        </w:rPr>
        <w:t xml:space="preserve">визначених </w:t>
      </w:r>
      <w:r w:rsidRPr="00200036">
        <w:rPr>
          <w:rFonts w:eastAsia="Arial Unicode MS"/>
          <w:b/>
          <w:lang w:eastAsia="zh-CN"/>
        </w:rPr>
        <w:t>цілей у разі прийняття регуляторного акта</w:t>
      </w:r>
    </w:p>
    <w:p w14:paraId="00012FC2" w14:textId="06033C33" w:rsidR="00346C90" w:rsidRPr="00200036" w:rsidRDefault="00346C90" w:rsidP="00C67A22">
      <w:pPr>
        <w:widowControl w:val="0"/>
        <w:ind w:firstLine="567"/>
      </w:pPr>
      <w:r w:rsidRPr="00200036">
        <w:t xml:space="preserve">Вимоги регуляторного акта обов’язкові для виконання </w:t>
      </w:r>
      <w:r w:rsidR="00063A13" w:rsidRPr="00200036">
        <w:t>в</w:t>
      </w:r>
      <w:r w:rsidRPr="00200036">
        <w:t xml:space="preserve">сіма </w:t>
      </w:r>
      <w:r w:rsidR="00147E47" w:rsidRPr="00200036">
        <w:t>страхови</w:t>
      </w:r>
      <w:r w:rsidR="00085A49" w:rsidRPr="00200036">
        <w:t>ка</w:t>
      </w:r>
      <w:r w:rsidR="00147E47" w:rsidRPr="00200036">
        <w:t>ми</w:t>
      </w:r>
      <w:r w:rsidR="00D9134F" w:rsidRPr="00200036">
        <w:t>,</w:t>
      </w:r>
      <w:r w:rsidR="00147E47" w:rsidRPr="00200036">
        <w:rPr>
          <w:lang w:eastAsia="en-US"/>
        </w:rPr>
        <w:t xml:space="preserve"> на яких поширюється дія </w:t>
      </w:r>
      <w:r w:rsidR="006104CA">
        <w:t>регуляторного</w:t>
      </w:r>
      <w:r w:rsidR="006104CA" w:rsidRPr="00200036">
        <w:rPr>
          <w:lang w:eastAsia="en-US"/>
        </w:rPr>
        <w:t xml:space="preserve"> </w:t>
      </w:r>
      <w:r w:rsidR="00147E47" w:rsidRPr="00200036">
        <w:rPr>
          <w:lang w:eastAsia="en-US"/>
        </w:rPr>
        <w:t>акта</w:t>
      </w:r>
      <w:r w:rsidRPr="00200036">
        <w:t xml:space="preserve">. Ризик як негативного, так і позитивного впливу зовнішніх </w:t>
      </w:r>
      <w:r w:rsidR="001831B8" w:rsidRPr="00200036">
        <w:t>чинників</w:t>
      </w:r>
      <w:r w:rsidRPr="00200036">
        <w:t xml:space="preserve"> на дію регуляторного акта потенційно зумовлюється головним чином змінами в законодавчих актах України, що може призвести до </w:t>
      </w:r>
      <w:r w:rsidR="001831B8" w:rsidRPr="00200036">
        <w:t>потреби</w:t>
      </w:r>
      <w:r w:rsidRPr="00200036">
        <w:t xml:space="preserve"> внесення змін до регуляторного акта.</w:t>
      </w:r>
    </w:p>
    <w:p w14:paraId="4891DC53" w14:textId="45291385" w:rsidR="00346C90" w:rsidRPr="00200036" w:rsidRDefault="001831B8" w:rsidP="00C67A22">
      <w:pPr>
        <w:widowControl w:val="0"/>
        <w:ind w:firstLine="567"/>
      </w:pPr>
      <w:r w:rsidRPr="00200036">
        <w:t>У</w:t>
      </w:r>
      <w:r w:rsidR="00346C90" w:rsidRPr="00200036">
        <w:t xml:space="preserve">провадження вимог регуляторного акта не потребує додаткових витрат Національного банку, </w:t>
      </w:r>
      <w:r w:rsidR="002566B7" w:rsidRPr="00200036">
        <w:t>оскільки</w:t>
      </w:r>
      <w:r w:rsidR="00346C90" w:rsidRPr="00200036">
        <w:t xml:space="preserve"> здійснюється в межах його повноважень.</w:t>
      </w:r>
    </w:p>
    <w:p w14:paraId="1EBE347F" w14:textId="0AE4DCD5" w:rsidR="00346C90" w:rsidRPr="00200036" w:rsidRDefault="00346C90" w:rsidP="00C67A22">
      <w:pPr>
        <w:widowControl w:val="0"/>
        <w:ind w:firstLine="567"/>
        <w:rPr>
          <w:lang w:eastAsia="ru-RU"/>
        </w:rPr>
      </w:pPr>
      <w:r w:rsidRPr="00200036">
        <w:rPr>
          <w:lang w:eastAsia="ru-RU"/>
        </w:rPr>
        <w:t>Здійснення державного контролю та нагляду за додержанням вимог</w:t>
      </w:r>
      <w:r w:rsidR="00DF1CF6" w:rsidRPr="00200036">
        <w:rPr>
          <w:lang w:eastAsia="ru-RU"/>
        </w:rPr>
        <w:t xml:space="preserve"> регуляторного</w:t>
      </w:r>
      <w:r w:rsidRPr="00200036">
        <w:rPr>
          <w:lang w:eastAsia="ru-RU"/>
        </w:rPr>
        <w:t xml:space="preserve"> акта відбуватиметься в</w:t>
      </w:r>
      <w:r w:rsidR="001831B8" w:rsidRPr="00200036">
        <w:rPr>
          <w:lang w:eastAsia="ru-RU"/>
        </w:rPr>
        <w:t xml:space="preserve"> межах</w:t>
      </w:r>
      <w:r w:rsidRPr="00200036">
        <w:rPr>
          <w:lang w:eastAsia="ru-RU"/>
        </w:rPr>
        <w:t xml:space="preserve"> здійснення Національним банком наглядової діяльності </w:t>
      </w:r>
      <w:r w:rsidR="0089055B" w:rsidRPr="00200036">
        <w:rPr>
          <w:lang w:eastAsia="ru-RU"/>
        </w:rPr>
        <w:t xml:space="preserve">за здійсненням </w:t>
      </w:r>
      <w:r w:rsidR="00147E47" w:rsidRPr="00200036">
        <w:rPr>
          <w:lang w:eastAsia="ru-RU"/>
        </w:rPr>
        <w:t>діяльності</w:t>
      </w:r>
      <w:r w:rsidR="0089055B" w:rsidRPr="00200036">
        <w:rPr>
          <w:lang w:eastAsia="ru-RU"/>
        </w:rPr>
        <w:t xml:space="preserve"> на ринку страхування.</w:t>
      </w:r>
    </w:p>
    <w:p w14:paraId="01F0B366" w14:textId="77777777" w:rsidR="00346C90" w:rsidRPr="00200036" w:rsidRDefault="00346C90" w:rsidP="00C67A22">
      <w:pPr>
        <w:widowControl w:val="0"/>
        <w:tabs>
          <w:tab w:val="left" w:pos="683"/>
        </w:tabs>
        <w:ind w:firstLine="567"/>
        <w:rPr>
          <w:lang w:eastAsia="zh-CN"/>
        </w:rPr>
      </w:pPr>
    </w:p>
    <w:p w14:paraId="0A1EF992" w14:textId="5421E6A8" w:rsidR="00346C90" w:rsidRPr="00200036" w:rsidRDefault="00346C90" w:rsidP="00C67A22">
      <w:pPr>
        <w:widowControl w:val="0"/>
        <w:ind w:firstLine="567"/>
        <w:rPr>
          <w:b/>
          <w:lang w:eastAsia="zh-CN"/>
        </w:rPr>
      </w:pPr>
      <w:r w:rsidRPr="00200036">
        <w:rPr>
          <w:b/>
          <w:lang w:eastAsia="zh-CN"/>
        </w:rPr>
        <w:t>VI. Визначення очікуваних результатів прийняття акта</w:t>
      </w:r>
    </w:p>
    <w:p w14:paraId="6158FB47" w14:textId="77777777" w:rsidR="00346C90" w:rsidRPr="00200036" w:rsidRDefault="00346C90" w:rsidP="00C67A22">
      <w:pPr>
        <w:autoSpaceDE w:val="0"/>
        <w:autoSpaceDN w:val="0"/>
        <w:adjustRightInd w:val="0"/>
        <w:ind w:firstLine="567"/>
        <w:rPr>
          <w:lang w:eastAsia="ru-RU"/>
        </w:rPr>
      </w:pPr>
      <w:r w:rsidRPr="00200036">
        <w:rPr>
          <w:lang w:eastAsia="ru-RU"/>
        </w:rPr>
        <w:t xml:space="preserve">Прийняття </w:t>
      </w:r>
      <w:r w:rsidR="00A85102" w:rsidRPr="00200036">
        <w:rPr>
          <w:lang w:eastAsia="ru-RU"/>
        </w:rPr>
        <w:t xml:space="preserve">регуляторного </w:t>
      </w:r>
      <w:r w:rsidRPr="00200036">
        <w:rPr>
          <w:lang w:eastAsia="ru-RU"/>
        </w:rPr>
        <w:t xml:space="preserve">акта </w:t>
      </w:r>
      <w:r w:rsidR="00201F1C" w:rsidRPr="00200036">
        <w:rPr>
          <w:sz w:val="29"/>
          <w:szCs w:val="29"/>
          <w:lang w:eastAsia="en-US"/>
        </w:rPr>
        <w:t>дасть</w:t>
      </w:r>
      <w:r w:rsidR="0021625D">
        <w:rPr>
          <w:sz w:val="29"/>
          <w:szCs w:val="29"/>
          <w:lang w:eastAsia="en-US"/>
        </w:rPr>
        <w:t xml:space="preserve"> змогу</w:t>
      </w:r>
      <w:r w:rsidR="00201F1C" w:rsidRPr="00200036">
        <w:rPr>
          <w:sz w:val="29"/>
          <w:szCs w:val="29"/>
          <w:lang w:eastAsia="en-US"/>
        </w:rPr>
        <w:t xml:space="preserve"> </w:t>
      </w:r>
      <w:r w:rsidR="00DD3265">
        <w:rPr>
          <w:sz w:val="29"/>
          <w:szCs w:val="29"/>
          <w:lang w:eastAsia="en-US"/>
        </w:rPr>
        <w:t>затвердити на виконання вимог</w:t>
      </w:r>
      <w:r w:rsidR="002C442C" w:rsidRPr="00200036">
        <w:rPr>
          <w:lang w:eastAsia="ru-RU"/>
        </w:rPr>
        <w:t xml:space="preserve"> </w:t>
      </w:r>
      <w:r w:rsidR="000A47EF" w:rsidRPr="00200036">
        <w:rPr>
          <w:rFonts w:eastAsia="Calibri"/>
          <w:lang w:eastAsia="en-US"/>
        </w:rPr>
        <w:t>нового Закону про страхування</w:t>
      </w:r>
      <w:r w:rsidR="002C442C" w:rsidRPr="00200036">
        <w:rPr>
          <w:lang w:eastAsia="ru-RU"/>
        </w:rPr>
        <w:t xml:space="preserve"> нормативно-правовий акт, предмет регулювання якого належить до повноважень Національного банку</w:t>
      </w:r>
      <w:r w:rsidR="003260A0" w:rsidRPr="00200036">
        <w:rPr>
          <w:lang w:eastAsia="ru-RU"/>
        </w:rPr>
        <w:t>.</w:t>
      </w:r>
      <w:r w:rsidR="0089055B" w:rsidRPr="00200036">
        <w:rPr>
          <w:lang w:eastAsia="ru-RU"/>
        </w:rPr>
        <w:t xml:space="preserve">  </w:t>
      </w:r>
    </w:p>
    <w:p w14:paraId="2DACCE31" w14:textId="77777777" w:rsidR="00346C90" w:rsidRPr="00200036" w:rsidRDefault="00346C90" w:rsidP="00C67A22">
      <w:pPr>
        <w:widowControl w:val="0"/>
        <w:tabs>
          <w:tab w:val="left" w:pos="1512"/>
        </w:tabs>
        <w:ind w:firstLine="567"/>
      </w:pPr>
      <w:r w:rsidRPr="00200036">
        <w:rPr>
          <w:lang w:eastAsia="ru-RU"/>
        </w:rPr>
        <w:t xml:space="preserve">За результатами </w:t>
      </w:r>
      <w:r w:rsidR="004E1C7D" w:rsidRPr="00200036">
        <w:rPr>
          <w:lang w:eastAsia="ru-RU"/>
        </w:rPr>
        <w:t xml:space="preserve">визначення </w:t>
      </w:r>
      <w:r w:rsidRPr="00200036">
        <w:rPr>
          <w:lang w:eastAsia="ru-RU"/>
        </w:rPr>
        <w:t>очікуваних результаті</w:t>
      </w:r>
      <w:r w:rsidR="00E11C93" w:rsidRPr="00200036">
        <w:rPr>
          <w:lang w:eastAsia="ru-RU"/>
        </w:rPr>
        <w:t xml:space="preserve">в прийняття регуляторного акта </w:t>
      </w:r>
      <w:r w:rsidR="004E1C7D" w:rsidRPr="00200036">
        <w:rPr>
          <w:lang w:eastAsia="ru-RU"/>
        </w:rPr>
        <w:t xml:space="preserve">протягом </w:t>
      </w:r>
      <w:r w:rsidR="001831B8" w:rsidRPr="00200036">
        <w:rPr>
          <w:lang w:eastAsia="ru-RU"/>
        </w:rPr>
        <w:t>у</w:t>
      </w:r>
      <w:r w:rsidR="004E1C7D" w:rsidRPr="00200036">
        <w:rPr>
          <w:lang w:eastAsia="ru-RU"/>
        </w:rPr>
        <w:t xml:space="preserve">сього строку його дії </w:t>
      </w:r>
      <w:r w:rsidRPr="00200036">
        <w:rPr>
          <w:lang w:eastAsia="ru-RU"/>
        </w:rPr>
        <w:t xml:space="preserve">можна виокремити такі </w:t>
      </w:r>
      <w:r w:rsidR="004E1C7D" w:rsidRPr="00200036">
        <w:rPr>
          <w:lang w:eastAsia="ru-RU"/>
        </w:rPr>
        <w:t xml:space="preserve">наслідки його </w:t>
      </w:r>
      <w:r w:rsidR="00DF1CF6" w:rsidRPr="00200036">
        <w:rPr>
          <w:lang w:eastAsia="ru-RU"/>
        </w:rPr>
        <w:t xml:space="preserve">прийняття </w:t>
      </w:r>
      <w:r w:rsidR="004E1C7D" w:rsidRPr="00200036">
        <w:rPr>
          <w:lang w:eastAsia="ru-RU"/>
        </w:rPr>
        <w:t>для суб’єктів, на яких поширюється дія регуляторного акта</w:t>
      </w:r>
      <w:r w:rsidR="009E72C1" w:rsidRPr="00200036">
        <w:t>.</w:t>
      </w:r>
    </w:p>
    <w:p w14:paraId="596EFE92" w14:textId="77777777" w:rsidR="004E1C7D" w:rsidRPr="00D77B77" w:rsidRDefault="009E72C1" w:rsidP="00F40B60">
      <w:pPr>
        <w:pStyle w:val="af3"/>
        <w:widowControl w:val="0"/>
        <w:tabs>
          <w:tab w:val="left" w:pos="993"/>
          <w:tab w:val="left" w:pos="1512"/>
        </w:tabs>
        <w:ind w:left="567"/>
        <w:rPr>
          <w:lang w:eastAsia="ru-RU"/>
        </w:rPr>
      </w:pPr>
      <w:r w:rsidRPr="00D77B77">
        <w:rPr>
          <w:lang w:eastAsia="ru-RU"/>
        </w:rPr>
        <w:t>П</w:t>
      </w:r>
      <w:r w:rsidR="004E1C7D" w:rsidRPr="00D77B77">
        <w:rPr>
          <w:lang w:eastAsia="ru-RU"/>
        </w:rPr>
        <w:t xml:space="preserve">озитивні наслідки </w:t>
      </w:r>
      <w:r w:rsidR="004E1C7D" w:rsidRPr="00D77B77">
        <w:rPr>
          <w:lang w:eastAsia="zh-CN"/>
        </w:rPr>
        <w:t>дії регуляторного акта:</w:t>
      </w:r>
    </w:p>
    <w:p w14:paraId="12291FE7" w14:textId="77777777" w:rsidR="00A43598" w:rsidRDefault="00A43598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484D27">
        <w:rPr>
          <w:lang w:eastAsia="en-US"/>
        </w:rPr>
        <w:t xml:space="preserve">реалізація положень </w:t>
      </w:r>
      <w:r>
        <w:rPr>
          <w:lang w:eastAsia="en-US"/>
        </w:rPr>
        <w:t xml:space="preserve">нового </w:t>
      </w:r>
      <w:r w:rsidRPr="00484D27">
        <w:rPr>
          <w:lang w:eastAsia="en-US"/>
        </w:rPr>
        <w:t>Закону про страхування</w:t>
      </w:r>
      <w:r>
        <w:rPr>
          <w:lang w:eastAsia="en-US"/>
        </w:rPr>
        <w:t>;</w:t>
      </w:r>
    </w:p>
    <w:p w14:paraId="4EB993DE" w14:textId="126F5C29" w:rsidR="004E1C7D" w:rsidRDefault="00A43598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створення</w:t>
      </w:r>
      <w:r w:rsidR="002C442C" w:rsidRPr="00D77B77">
        <w:rPr>
          <w:lang w:eastAsia="en-US"/>
        </w:rPr>
        <w:t xml:space="preserve"> </w:t>
      </w:r>
      <w:r w:rsidRPr="00D77B77">
        <w:rPr>
          <w:lang w:eastAsia="en-US"/>
        </w:rPr>
        <w:t>страховик</w:t>
      </w:r>
      <w:r>
        <w:rPr>
          <w:lang w:eastAsia="en-US"/>
        </w:rPr>
        <w:t>ами</w:t>
      </w:r>
      <w:r w:rsidRPr="00D77B77">
        <w:rPr>
          <w:lang w:eastAsia="en-US"/>
        </w:rPr>
        <w:t xml:space="preserve"> </w:t>
      </w:r>
      <w:r>
        <w:rPr>
          <w:lang w:eastAsia="en-US"/>
        </w:rPr>
        <w:t>системи управління, що ґрунтується на єдиних вимогах, визначених регуляторним актом</w:t>
      </w:r>
      <w:r w:rsidR="005702AD" w:rsidRPr="00D77B77">
        <w:rPr>
          <w:lang w:eastAsia="en-US"/>
        </w:rPr>
        <w:t>;</w:t>
      </w:r>
    </w:p>
    <w:p w14:paraId="406A9945" w14:textId="5064519C" w:rsidR="004F53ED" w:rsidRPr="00D77B77" w:rsidRDefault="00D93BC2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у</w:t>
      </w:r>
      <w:r w:rsidR="004F53ED">
        <w:rPr>
          <w:lang w:eastAsia="en-US"/>
        </w:rPr>
        <w:t xml:space="preserve">провадження ризик-орієнтованого </w:t>
      </w:r>
      <w:r>
        <w:rPr>
          <w:lang w:eastAsia="en-US"/>
        </w:rPr>
        <w:t xml:space="preserve">підходу в </w:t>
      </w:r>
      <w:r w:rsidR="004F53ED">
        <w:rPr>
          <w:lang w:eastAsia="en-US"/>
        </w:rPr>
        <w:t>регулюванн</w:t>
      </w:r>
      <w:r>
        <w:rPr>
          <w:lang w:eastAsia="en-US"/>
        </w:rPr>
        <w:t>і</w:t>
      </w:r>
      <w:r w:rsidR="004A26EF">
        <w:rPr>
          <w:lang w:eastAsia="en-US"/>
        </w:rPr>
        <w:t xml:space="preserve"> щодо організації системи управління</w:t>
      </w:r>
      <w:r w:rsidR="004F53ED">
        <w:rPr>
          <w:lang w:eastAsia="en-US"/>
        </w:rPr>
        <w:t xml:space="preserve"> на основі встановлен</w:t>
      </w:r>
      <w:r w:rsidR="00B65267">
        <w:rPr>
          <w:lang w:eastAsia="en-US"/>
        </w:rPr>
        <w:t>их</w:t>
      </w:r>
      <w:r w:rsidR="004F53ED">
        <w:rPr>
          <w:lang w:eastAsia="en-US"/>
        </w:rPr>
        <w:t xml:space="preserve"> критеріїв значимості страховиків;</w:t>
      </w:r>
    </w:p>
    <w:p w14:paraId="5486BBF0" w14:textId="74CF65C2" w:rsidR="007B167D" w:rsidRPr="00D77B77" w:rsidRDefault="00D93BC2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у</w:t>
      </w:r>
      <w:r w:rsidR="00B65267">
        <w:rPr>
          <w:lang w:eastAsia="en-US"/>
        </w:rPr>
        <w:t>провадження однакових підходів до розроблення та оновлення</w:t>
      </w:r>
      <w:r w:rsidR="004A26EF">
        <w:rPr>
          <w:lang w:eastAsia="en-US"/>
        </w:rPr>
        <w:t xml:space="preserve"> </w:t>
      </w:r>
      <w:r w:rsidR="004A26EF">
        <w:t>в</w:t>
      </w:r>
      <w:r w:rsidR="004A26EF" w:rsidRPr="00752EC0">
        <w:t>нутрішні</w:t>
      </w:r>
      <w:r w:rsidR="004A26EF">
        <w:t>х</w:t>
      </w:r>
      <w:r w:rsidR="004A26EF" w:rsidRPr="00752EC0">
        <w:t xml:space="preserve"> документ</w:t>
      </w:r>
      <w:r w:rsidR="004A26EF">
        <w:t>ів</w:t>
      </w:r>
      <w:r w:rsidR="004A26EF" w:rsidRPr="00752EC0">
        <w:t xml:space="preserve"> щодо організації системи управління</w:t>
      </w:r>
      <w:r w:rsidR="004A26EF">
        <w:t xml:space="preserve"> </w:t>
      </w:r>
      <w:r w:rsidR="00B65267">
        <w:t xml:space="preserve">страховика </w:t>
      </w:r>
      <w:r w:rsidR="004A26EF">
        <w:t xml:space="preserve">відповідно до вимог, </w:t>
      </w:r>
      <w:r>
        <w:t>у</w:t>
      </w:r>
      <w:r w:rsidR="004A26EF">
        <w:t>становлених регуляторним актом;</w:t>
      </w:r>
      <w:r w:rsidR="004A26EF" w:rsidRPr="00D77B77" w:rsidDel="004F53ED">
        <w:rPr>
          <w:lang w:eastAsia="en-US"/>
        </w:rPr>
        <w:t xml:space="preserve"> </w:t>
      </w:r>
    </w:p>
    <w:p w14:paraId="4FE4D827" w14:textId="537FCC12" w:rsidR="00D77B77" w:rsidRPr="00484D27" w:rsidRDefault="00B65267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color w:val="000000" w:themeColor="text1"/>
          <w:lang w:eastAsia="zh-CN"/>
        </w:rPr>
        <w:t>визначення</w:t>
      </w:r>
      <w:r w:rsidRPr="00D77B77">
        <w:rPr>
          <w:color w:val="000000" w:themeColor="text1"/>
          <w:lang w:eastAsia="zh-CN"/>
        </w:rPr>
        <w:t xml:space="preserve"> </w:t>
      </w:r>
      <w:r w:rsidR="00D77B77" w:rsidRPr="00D77B77">
        <w:rPr>
          <w:color w:val="000000" w:themeColor="text1"/>
          <w:lang w:eastAsia="zh-CN"/>
        </w:rPr>
        <w:t xml:space="preserve">основних цілей та засад організації </w:t>
      </w:r>
      <w:r w:rsidR="00D93BC2">
        <w:rPr>
          <w:color w:val="000000" w:themeColor="text1"/>
          <w:lang w:eastAsia="zh-CN"/>
        </w:rPr>
        <w:t>і</w:t>
      </w:r>
      <w:r w:rsidR="00D93BC2" w:rsidRPr="00D77B77">
        <w:rPr>
          <w:color w:val="000000" w:themeColor="text1"/>
          <w:lang w:eastAsia="zh-CN"/>
        </w:rPr>
        <w:t xml:space="preserve"> </w:t>
      </w:r>
      <w:r w:rsidR="00D77B77" w:rsidRPr="00D77B77">
        <w:rPr>
          <w:color w:val="000000" w:themeColor="text1"/>
          <w:lang w:eastAsia="zh-CN"/>
        </w:rPr>
        <w:t>функціонування якісної та ефективної системи внутрішнього контролю страховика;</w:t>
      </w:r>
    </w:p>
    <w:p w14:paraId="19453493" w14:textId="68C4AD79" w:rsidR="004F53ED" w:rsidRDefault="00B65267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 xml:space="preserve">забезпечення організації </w:t>
      </w:r>
      <w:r w:rsidR="004F53ED">
        <w:rPr>
          <w:lang w:eastAsia="en-US"/>
        </w:rPr>
        <w:t>систем</w:t>
      </w:r>
      <w:r w:rsidR="00D93BC2">
        <w:rPr>
          <w:lang w:eastAsia="en-US"/>
        </w:rPr>
        <w:t>и</w:t>
      </w:r>
      <w:r w:rsidR="004F53ED">
        <w:rPr>
          <w:lang w:eastAsia="en-US"/>
        </w:rPr>
        <w:t xml:space="preserve"> внутрішнього контролю страховиків </w:t>
      </w:r>
      <w:r w:rsidR="00A85D8D">
        <w:rPr>
          <w:lang w:eastAsia="en-US"/>
        </w:rPr>
        <w:lastRenderedPageBreak/>
        <w:t>на</w:t>
      </w:r>
      <w:r w:rsidR="004F53ED">
        <w:rPr>
          <w:lang w:eastAsia="en-US"/>
        </w:rPr>
        <w:t xml:space="preserve"> трьох лініях захисту, що передбачає </w:t>
      </w:r>
      <w:r w:rsidR="004F53ED">
        <w:t>розподіл</w:t>
      </w:r>
      <w:r w:rsidR="004F53ED" w:rsidRPr="00752EC0">
        <w:t xml:space="preserve"> обов’язків між відповідальними за певний процес у межах системи внутрішнього контролю особами та/або структурними підрозділами страховика</w:t>
      </w:r>
      <w:r w:rsidR="004F53ED">
        <w:t>;</w:t>
      </w:r>
      <w:r w:rsidR="004F53ED">
        <w:rPr>
          <w:lang w:eastAsia="en-US"/>
        </w:rPr>
        <w:t xml:space="preserve"> </w:t>
      </w:r>
    </w:p>
    <w:p w14:paraId="0EFEAE2B" w14:textId="07D60062" w:rsidR="004A26EF" w:rsidRPr="00D77B77" w:rsidRDefault="00B65267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t xml:space="preserve">упровадження </w:t>
      </w:r>
      <w:r w:rsidR="004A26EF" w:rsidRPr="00752EC0">
        <w:t>виявлення, запобігання та управління конфліктами інтересів у страховику</w:t>
      </w:r>
      <w:r w:rsidR="004A26EF">
        <w:t xml:space="preserve"> відповідно до єдиних підходів;</w:t>
      </w:r>
    </w:p>
    <w:p w14:paraId="5B6C5507" w14:textId="2C2E2961" w:rsidR="004A26EF" w:rsidRDefault="00B65267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застосування</w:t>
      </w:r>
      <w:r w:rsidR="004A26EF">
        <w:rPr>
          <w:lang w:eastAsia="en-US"/>
        </w:rPr>
        <w:t xml:space="preserve"> єдиних підходів </w:t>
      </w:r>
      <w:r w:rsidR="00102BEF">
        <w:rPr>
          <w:lang w:eastAsia="en-US"/>
        </w:rPr>
        <w:t>страховик</w:t>
      </w:r>
      <w:r>
        <w:rPr>
          <w:lang w:eastAsia="en-US"/>
        </w:rPr>
        <w:t>ами</w:t>
      </w:r>
      <w:r w:rsidR="00102BEF">
        <w:rPr>
          <w:lang w:eastAsia="en-US"/>
        </w:rPr>
        <w:t xml:space="preserve"> </w:t>
      </w:r>
      <w:r w:rsidR="004A26EF">
        <w:rPr>
          <w:lang w:eastAsia="en-US"/>
        </w:rPr>
        <w:t xml:space="preserve">щодо </w:t>
      </w:r>
      <w:r w:rsidR="00102BEF">
        <w:rPr>
          <w:lang w:eastAsia="en-US"/>
        </w:rPr>
        <w:t xml:space="preserve">здійснення </w:t>
      </w:r>
      <w:r w:rsidR="004A26EF">
        <w:rPr>
          <w:lang w:eastAsia="en-US"/>
        </w:rPr>
        <w:t xml:space="preserve">контрольної діяльності страховика та  </w:t>
      </w:r>
      <w:r w:rsidR="004A26EF" w:rsidRPr="00752EC0">
        <w:t>моніторинг</w:t>
      </w:r>
      <w:r w:rsidR="004A26EF">
        <w:t>у</w:t>
      </w:r>
      <w:r w:rsidR="004A26EF" w:rsidRPr="00752EC0">
        <w:t xml:space="preserve"> ефективності </w:t>
      </w:r>
      <w:r w:rsidR="004A26EF">
        <w:t xml:space="preserve">його </w:t>
      </w:r>
      <w:r w:rsidR="004A26EF" w:rsidRPr="00752EC0">
        <w:t>системи внутрішнього контролю</w:t>
      </w:r>
      <w:r w:rsidR="004A26EF">
        <w:t>;</w:t>
      </w:r>
    </w:p>
    <w:p w14:paraId="6606CA3A" w14:textId="382017B9" w:rsidR="00102BEF" w:rsidRDefault="00B65267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створення</w:t>
      </w:r>
      <w:r w:rsidRPr="00D77B77">
        <w:rPr>
          <w:lang w:eastAsia="en-US"/>
        </w:rPr>
        <w:t xml:space="preserve"> </w:t>
      </w:r>
      <w:r w:rsidR="00102BEF">
        <w:rPr>
          <w:lang w:eastAsia="en-US"/>
        </w:rPr>
        <w:t>систем</w:t>
      </w:r>
      <w:r>
        <w:rPr>
          <w:lang w:eastAsia="en-US"/>
        </w:rPr>
        <w:t>и</w:t>
      </w:r>
      <w:r w:rsidR="00102BEF">
        <w:rPr>
          <w:lang w:eastAsia="en-US"/>
        </w:rPr>
        <w:t xml:space="preserve"> управління ризиками страховика, що враховує </w:t>
      </w:r>
      <w:r w:rsidR="00102BEF" w:rsidRPr="00752EC0">
        <w:t>вимірювання (оцінку)</w:t>
      </w:r>
      <w:r w:rsidR="00102BEF">
        <w:rPr>
          <w:lang w:eastAsia="en-US"/>
        </w:rPr>
        <w:t xml:space="preserve"> </w:t>
      </w:r>
      <w:r w:rsidR="00102BEF" w:rsidRPr="00752EC0">
        <w:t>обґрунтовано передбачуван</w:t>
      </w:r>
      <w:r w:rsidR="00102BEF">
        <w:t>их</w:t>
      </w:r>
      <w:r w:rsidR="00102BEF" w:rsidRPr="00752EC0">
        <w:t xml:space="preserve"> суттєв</w:t>
      </w:r>
      <w:r w:rsidR="00102BEF">
        <w:t>их</w:t>
      </w:r>
      <w:r w:rsidR="00102BEF" w:rsidRPr="00752EC0">
        <w:t xml:space="preserve"> ризик</w:t>
      </w:r>
      <w:r w:rsidR="00102BEF">
        <w:t>ів</w:t>
      </w:r>
      <w:r w:rsidR="00102BEF" w:rsidRPr="00752EC0">
        <w:t>, на які наражається страховик</w:t>
      </w:r>
      <w:r w:rsidR="00102BEF">
        <w:t xml:space="preserve">, </w:t>
      </w:r>
      <w:r>
        <w:t xml:space="preserve">мінімальний </w:t>
      </w:r>
      <w:r w:rsidR="00102BEF">
        <w:t>перелік яких визначен</w:t>
      </w:r>
      <w:r>
        <w:t>ий</w:t>
      </w:r>
      <w:r w:rsidR="00102BEF">
        <w:t xml:space="preserve"> регуляторним актом;</w:t>
      </w:r>
    </w:p>
    <w:p w14:paraId="2D89075C" w14:textId="4549AAF3" w:rsidR="004F53ED" w:rsidRDefault="00D93BC2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у</w:t>
      </w:r>
      <w:r w:rsidR="007D278D">
        <w:rPr>
          <w:lang w:eastAsia="en-US"/>
        </w:rPr>
        <w:t>провадження</w:t>
      </w:r>
      <w:r w:rsidR="004A26EF">
        <w:rPr>
          <w:lang w:eastAsia="en-US"/>
        </w:rPr>
        <w:t xml:space="preserve"> </w:t>
      </w:r>
      <w:r w:rsidR="007B167D" w:rsidRPr="00D77B77">
        <w:rPr>
          <w:lang w:eastAsia="en-US"/>
        </w:rPr>
        <w:t>та виконання ключових функцій у страховику</w:t>
      </w:r>
      <w:r w:rsidR="004A26EF">
        <w:rPr>
          <w:lang w:eastAsia="en-US"/>
        </w:rPr>
        <w:t xml:space="preserve"> відповідно  до однакових вимог, визначених новим Законом про страхування та регуляторним актом</w:t>
      </w:r>
      <w:r w:rsidR="007B167D" w:rsidRPr="00D77B77">
        <w:rPr>
          <w:lang w:eastAsia="en-US"/>
        </w:rPr>
        <w:t>;</w:t>
      </w:r>
      <w:r w:rsidR="004F53ED" w:rsidRPr="004F53ED">
        <w:rPr>
          <w:lang w:eastAsia="en-US"/>
        </w:rPr>
        <w:t xml:space="preserve"> </w:t>
      </w:r>
    </w:p>
    <w:p w14:paraId="7CEC2AA9" w14:textId="36300BE3" w:rsidR="007B167D" w:rsidRPr="00D77B77" w:rsidRDefault="007D278D" w:rsidP="00C67A22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>
        <w:rPr>
          <w:lang w:eastAsia="en-US"/>
        </w:rPr>
        <w:t>започаткування подання</w:t>
      </w:r>
      <w:r w:rsidR="00D93BC2">
        <w:rPr>
          <w:lang w:eastAsia="en-US"/>
        </w:rPr>
        <w:t> </w:t>
      </w:r>
      <w:r>
        <w:rPr>
          <w:lang w:eastAsia="en-US"/>
        </w:rPr>
        <w:t>/</w:t>
      </w:r>
      <w:r w:rsidR="00D93BC2">
        <w:t> </w:t>
      </w:r>
      <w:r>
        <w:rPr>
          <w:lang w:eastAsia="en-US"/>
        </w:rPr>
        <w:t xml:space="preserve">вдосконалення </w:t>
      </w:r>
      <w:r w:rsidR="004F53ED">
        <w:rPr>
          <w:lang w:eastAsia="en-US"/>
        </w:rPr>
        <w:t>наповнення актуарних звітів</w:t>
      </w:r>
      <w:r>
        <w:rPr>
          <w:lang w:eastAsia="en-US"/>
        </w:rPr>
        <w:t>,</w:t>
      </w:r>
      <w:r w:rsidR="004F53ED">
        <w:rPr>
          <w:lang w:eastAsia="en-US"/>
        </w:rPr>
        <w:t xml:space="preserve"> звіту </w:t>
      </w:r>
      <w:r w:rsidR="004F53ED" w:rsidRPr="00752EC0">
        <w:t>про роботу підрозділу внутрішнього аудиту страховика</w:t>
      </w:r>
      <w:r w:rsidR="004F53ED">
        <w:t xml:space="preserve"> </w:t>
      </w:r>
      <w:r>
        <w:t xml:space="preserve">та інших внутрішніх звітів страховика, </w:t>
      </w:r>
      <w:r w:rsidR="004F53ED">
        <w:rPr>
          <w:lang w:eastAsia="en-US"/>
        </w:rPr>
        <w:t>порядок подання таких звітів</w:t>
      </w:r>
      <w:r w:rsidR="00F35BD3">
        <w:rPr>
          <w:lang w:eastAsia="en-US"/>
        </w:rPr>
        <w:t>, а</w:t>
      </w:r>
      <w:r w:rsidR="004F53ED">
        <w:rPr>
          <w:lang w:eastAsia="en-US"/>
        </w:rPr>
        <w:t xml:space="preserve"> та</w:t>
      </w:r>
      <w:r w:rsidR="00F35BD3">
        <w:rPr>
          <w:lang w:eastAsia="en-US"/>
        </w:rPr>
        <w:t>кож</w:t>
      </w:r>
      <w:r w:rsidR="004F53ED">
        <w:rPr>
          <w:lang w:eastAsia="en-US"/>
        </w:rPr>
        <w:t xml:space="preserve"> </w:t>
      </w:r>
      <w:r w:rsidR="004F53ED" w:rsidRPr="00752EC0">
        <w:t xml:space="preserve">інших документів до Національного банку </w:t>
      </w:r>
      <w:r>
        <w:t>та для внутрішніх потреб страховика з метою забезпечення контролю за ефективністю здійснення ключових функцій</w:t>
      </w:r>
      <w:r w:rsidR="00A85D8D">
        <w:rPr>
          <w:lang w:eastAsia="en-US"/>
        </w:rPr>
        <w:t>.</w:t>
      </w:r>
    </w:p>
    <w:p w14:paraId="71DE30EA" w14:textId="5A92E9F3" w:rsidR="00AA4696" w:rsidRPr="00200036" w:rsidRDefault="00D77B77" w:rsidP="00F40B60">
      <w:pPr>
        <w:pStyle w:val="af3"/>
        <w:widowControl w:val="0"/>
        <w:tabs>
          <w:tab w:val="left" w:pos="993"/>
          <w:tab w:val="left" w:pos="1512"/>
        </w:tabs>
        <w:ind w:left="0" w:firstLine="567"/>
      </w:pPr>
      <w:r w:rsidRPr="00D30137">
        <w:rPr>
          <w:color w:val="000000" w:themeColor="text1"/>
        </w:rPr>
        <w:t xml:space="preserve">Можливі негативні наслідки дії регуляторного акта – витрати </w:t>
      </w:r>
      <w:r>
        <w:rPr>
          <w:color w:val="000000" w:themeColor="text1"/>
        </w:rPr>
        <w:t>страховиків</w:t>
      </w:r>
      <w:r w:rsidRPr="00D30137">
        <w:rPr>
          <w:color w:val="000000" w:themeColor="text1"/>
        </w:rPr>
        <w:t xml:space="preserve">, пов’язані з </w:t>
      </w:r>
      <w:r w:rsidRPr="00D65BC6">
        <w:rPr>
          <w:lang w:eastAsia="zh-CN"/>
        </w:rPr>
        <w:t xml:space="preserve">приведенням </w:t>
      </w:r>
      <w:r w:rsidRPr="00D65BC6">
        <w:rPr>
          <w:lang w:eastAsia="ru-RU"/>
        </w:rPr>
        <w:t>своєї діяльності у відповідність до вимог регуляторного акта</w:t>
      </w:r>
      <w:r>
        <w:rPr>
          <w:lang w:eastAsia="ru-RU"/>
        </w:rPr>
        <w:t xml:space="preserve">, </w:t>
      </w:r>
      <w:r w:rsidR="00A36330">
        <w:rPr>
          <w:lang w:eastAsia="ru-RU"/>
        </w:rPr>
        <w:t>у</w:t>
      </w:r>
      <w:r>
        <w:rPr>
          <w:lang w:eastAsia="ru-RU"/>
        </w:rPr>
        <w:t>ключаючи зміну організаційної структури, внутрішніх процесів діяльності, розроб</w:t>
      </w:r>
      <w:r w:rsidR="00A36330">
        <w:rPr>
          <w:lang w:eastAsia="ru-RU"/>
        </w:rPr>
        <w:t>лення</w:t>
      </w:r>
      <w:r>
        <w:rPr>
          <w:lang w:eastAsia="ru-RU"/>
        </w:rPr>
        <w:t xml:space="preserve"> внутрішніх документів. </w:t>
      </w:r>
    </w:p>
    <w:p w14:paraId="74077A9D" w14:textId="6C36D7F3" w:rsidR="00AF3FF7" w:rsidRPr="00D65BC6" w:rsidRDefault="00AF3FF7" w:rsidP="00C67A22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Ураховуючи специфіку сфери правового регулювання акта, не вбачається за можливе обчислення розмірів позитивних </w:t>
      </w:r>
      <w:r>
        <w:rPr>
          <w:lang w:eastAsia="zh-CN"/>
        </w:rPr>
        <w:t xml:space="preserve">результатів </w:t>
      </w:r>
      <w:r w:rsidRPr="00D65BC6">
        <w:rPr>
          <w:lang w:eastAsia="zh-CN"/>
        </w:rPr>
        <w:t>та можливих негативних наслідків до його прийняття.</w:t>
      </w:r>
    </w:p>
    <w:p w14:paraId="073657D8" w14:textId="77777777" w:rsidR="00346C90" w:rsidRPr="00200036" w:rsidRDefault="00346C90" w:rsidP="00C67A22">
      <w:pPr>
        <w:ind w:firstLine="567"/>
        <w:rPr>
          <w:lang w:eastAsia="ru-RU"/>
        </w:rPr>
      </w:pPr>
    </w:p>
    <w:p w14:paraId="4AD4A993" w14:textId="5125E658" w:rsidR="0045062E" w:rsidRPr="00200036" w:rsidRDefault="0045062E" w:rsidP="00C67A22">
      <w:pPr>
        <w:ind w:firstLine="567"/>
        <w:rPr>
          <w:b/>
        </w:rPr>
      </w:pPr>
      <w:r w:rsidRPr="00200036">
        <w:rPr>
          <w:b/>
          <w:lang w:eastAsia="zh-CN"/>
        </w:rPr>
        <w:t xml:space="preserve">VII. </w:t>
      </w:r>
      <w:r w:rsidRPr="00200036">
        <w:rPr>
          <w:b/>
        </w:rPr>
        <w:t xml:space="preserve">Обґрунтування </w:t>
      </w:r>
      <w:r w:rsidR="0043384B" w:rsidRPr="00200036">
        <w:rPr>
          <w:b/>
        </w:rPr>
        <w:t xml:space="preserve">запропонованого </w:t>
      </w:r>
      <w:r w:rsidRPr="00200036">
        <w:rPr>
          <w:b/>
        </w:rPr>
        <w:t>строку</w:t>
      </w:r>
      <w:r w:rsidR="0043384B" w:rsidRPr="00200036">
        <w:rPr>
          <w:b/>
        </w:rPr>
        <w:t xml:space="preserve"> дії акта </w:t>
      </w:r>
    </w:p>
    <w:p w14:paraId="5B7A3767" w14:textId="20856676" w:rsidR="0045062E" w:rsidRPr="00200036" w:rsidRDefault="008B263D" w:rsidP="00F40B60">
      <w:pPr>
        <w:widowControl w:val="0"/>
        <w:ind w:firstLine="567"/>
      </w:pPr>
      <w:r w:rsidRPr="00200036">
        <w:t>П</w:t>
      </w:r>
      <w:r w:rsidR="00830DBE" w:rsidRPr="00200036">
        <w:t>оложення</w:t>
      </w:r>
      <w:r w:rsidRPr="00200036">
        <w:t xml:space="preserve"> </w:t>
      </w:r>
      <w:r w:rsidR="00A36330" w:rsidRPr="00F40B60">
        <w:t>регуляторного</w:t>
      </w:r>
      <w:r w:rsidR="00A36330" w:rsidRPr="00A36330">
        <w:t xml:space="preserve"> </w:t>
      </w:r>
      <w:r w:rsidR="0045062E" w:rsidRPr="00200036">
        <w:t>акт</w:t>
      </w:r>
      <w:r w:rsidR="00830DBE" w:rsidRPr="00200036">
        <w:t>а</w:t>
      </w:r>
      <w:r w:rsidR="0045062E" w:rsidRPr="00200036">
        <w:t xml:space="preserve"> набиратим</w:t>
      </w:r>
      <w:r w:rsidR="00830DBE" w:rsidRPr="00200036">
        <w:t>уть</w:t>
      </w:r>
      <w:r w:rsidR="0045062E" w:rsidRPr="00200036">
        <w:t xml:space="preserve"> чинн</w:t>
      </w:r>
      <w:r w:rsidR="00A36330">
        <w:t>о</w:t>
      </w:r>
      <w:r w:rsidR="00830DBE" w:rsidRPr="00200036">
        <w:t>ст</w:t>
      </w:r>
      <w:r w:rsidR="00A36330">
        <w:t>і</w:t>
      </w:r>
      <w:r w:rsidR="00830DBE" w:rsidRPr="00200036">
        <w:t xml:space="preserve"> </w:t>
      </w:r>
      <w:r w:rsidR="0045062E" w:rsidRPr="00200036">
        <w:t xml:space="preserve">з </w:t>
      </w:r>
      <w:r w:rsidR="002C442C" w:rsidRPr="00200036">
        <w:t>01</w:t>
      </w:r>
      <w:r w:rsidR="00A36330">
        <w:t xml:space="preserve"> січня </w:t>
      </w:r>
      <w:r w:rsidR="002C442C" w:rsidRPr="00200036">
        <w:t xml:space="preserve">2024 </w:t>
      </w:r>
      <w:r w:rsidR="00A36330">
        <w:t xml:space="preserve">року </w:t>
      </w:r>
      <w:r w:rsidR="002C442C" w:rsidRPr="00200036">
        <w:t xml:space="preserve">(з дня введення в дію </w:t>
      </w:r>
      <w:r w:rsidR="000A47EF" w:rsidRPr="00200036">
        <w:rPr>
          <w:rFonts w:eastAsia="Calibri"/>
          <w:lang w:eastAsia="en-US"/>
        </w:rPr>
        <w:t>нового Закону про страхування</w:t>
      </w:r>
      <w:r w:rsidRPr="00200036">
        <w:t>)</w:t>
      </w:r>
      <w:r w:rsidR="00DD3265">
        <w:t xml:space="preserve">, крім глави </w:t>
      </w:r>
      <w:r w:rsidR="00DA6F8B">
        <w:t>6</w:t>
      </w:r>
      <w:r w:rsidR="00F40B60">
        <w:t xml:space="preserve"> </w:t>
      </w:r>
      <w:r w:rsidR="00DD3265" w:rsidRPr="00E03C89">
        <w:rPr>
          <w:rFonts w:eastAsiaTheme="minorEastAsia"/>
        </w:rPr>
        <w:t>Положення</w:t>
      </w:r>
      <w:r w:rsidR="002B7694">
        <w:rPr>
          <w:rFonts w:eastAsiaTheme="minorEastAsia"/>
        </w:rPr>
        <w:t xml:space="preserve"> </w:t>
      </w:r>
      <w:r w:rsidR="002B7694" w:rsidRPr="00F40B60">
        <w:rPr>
          <w:lang w:eastAsia="zh-CN"/>
        </w:rPr>
        <w:t>про вимоги до системи управління</w:t>
      </w:r>
      <w:r w:rsidR="002B7694">
        <w:rPr>
          <w:lang w:eastAsia="zh-CN"/>
        </w:rPr>
        <w:t xml:space="preserve"> </w:t>
      </w:r>
      <w:r w:rsidR="002B7694" w:rsidRPr="00F40B60">
        <w:rPr>
          <w:lang w:eastAsia="zh-CN"/>
        </w:rPr>
        <w:t>страховика</w:t>
      </w:r>
      <w:r w:rsidR="00DD3265" w:rsidRPr="002B7694">
        <w:t>, яка н</w:t>
      </w:r>
      <w:r w:rsidR="00DD3265">
        <w:t>абира</w:t>
      </w:r>
      <w:r w:rsidR="00A36330">
        <w:t>тиме</w:t>
      </w:r>
      <w:r w:rsidR="00DD3265">
        <w:t xml:space="preserve"> чинності </w:t>
      </w:r>
      <w:r w:rsidR="00DD3265" w:rsidRPr="00286685">
        <w:t xml:space="preserve">з </w:t>
      </w:r>
      <w:r w:rsidR="00DD3265" w:rsidRPr="00DF1D7F">
        <w:t>01 січня 202</w:t>
      </w:r>
      <w:r w:rsidR="00DD3265">
        <w:t>7</w:t>
      </w:r>
      <w:r w:rsidR="00DD3265" w:rsidRPr="00DF1D7F">
        <w:t xml:space="preserve"> року</w:t>
      </w:r>
      <w:r w:rsidRPr="00200036">
        <w:t>.</w:t>
      </w:r>
    </w:p>
    <w:p w14:paraId="7AAC63CC" w14:textId="1EF31AEC" w:rsidR="0045062E" w:rsidRPr="00200036" w:rsidRDefault="0045062E" w:rsidP="00C67A22">
      <w:pPr>
        <w:ind w:firstLine="567"/>
      </w:pPr>
      <w:r w:rsidRPr="00200036">
        <w:t xml:space="preserve">Строк дії </w:t>
      </w:r>
      <w:r w:rsidR="002B7694">
        <w:t xml:space="preserve">регуляторного </w:t>
      </w:r>
      <w:r w:rsidRPr="00200036">
        <w:t xml:space="preserve">акта </w:t>
      </w:r>
      <w:r w:rsidR="008B263D" w:rsidRPr="00200036">
        <w:t>не</w:t>
      </w:r>
      <w:r w:rsidRPr="00200036">
        <w:t>обмежений у часі.</w:t>
      </w:r>
    </w:p>
    <w:p w14:paraId="427D9334" w14:textId="77777777" w:rsidR="0045062E" w:rsidRPr="00200036" w:rsidRDefault="0045062E" w:rsidP="00C67A22">
      <w:pPr>
        <w:ind w:firstLine="567"/>
        <w:rPr>
          <w:b/>
          <w:lang w:eastAsia="zh-CN"/>
        </w:rPr>
      </w:pPr>
    </w:p>
    <w:p w14:paraId="668502BC" w14:textId="371D2F87" w:rsidR="00346C90" w:rsidRPr="00200036" w:rsidRDefault="00346C90" w:rsidP="00C67A22">
      <w:pPr>
        <w:ind w:firstLine="567"/>
        <w:rPr>
          <w:b/>
          <w:lang w:eastAsia="zh-CN"/>
        </w:rPr>
      </w:pPr>
      <w:r w:rsidRPr="00200036">
        <w:rPr>
          <w:b/>
          <w:lang w:eastAsia="zh-CN"/>
        </w:rPr>
        <w:t>VI</w:t>
      </w:r>
      <w:r w:rsidR="0045062E" w:rsidRPr="00200036">
        <w:rPr>
          <w:b/>
          <w:lang w:eastAsia="zh-CN"/>
        </w:rPr>
        <w:t>I</w:t>
      </w:r>
      <w:r w:rsidRPr="00200036">
        <w:rPr>
          <w:b/>
          <w:lang w:eastAsia="zh-CN"/>
        </w:rPr>
        <w:t>I. Визначення показників результативності акта</w:t>
      </w:r>
    </w:p>
    <w:p w14:paraId="17C6E621" w14:textId="77777777" w:rsidR="00346C90" w:rsidRPr="00200036" w:rsidRDefault="00346C90" w:rsidP="00C67A22">
      <w:pPr>
        <w:ind w:firstLine="567"/>
        <w:rPr>
          <w:lang w:eastAsia="ru-RU"/>
        </w:rPr>
      </w:pPr>
      <w:r w:rsidRPr="00200036">
        <w:rPr>
          <w:lang w:eastAsia="ru-RU"/>
        </w:rPr>
        <w:t>Показниками результативності регуляторного акта є:</w:t>
      </w:r>
    </w:p>
    <w:p w14:paraId="44772ED2" w14:textId="58931FC3" w:rsidR="00346C90" w:rsidRPr="00200036" w:rsidRDefault="00346C90" w:rsidP="00C67A22">
      <w:pPr>
        <w:ind w:firstLine="567"/>
        <w:rPr>
          <w:rFonts w:eastAsia="Calibri"/>
          <w:lang w:eastAsia="ru-RU"/>
        </w:rPr>
      </w:pPr>
      <w:r w:rsidRPr="00200036">
        <w:rPr>
          <w:lang w:eastAsia="ru-RU"/>
        </w:rPr>
        <w:t xml:space="preserve">1) </w:t>
      </w:r>
      <w:bookmarkStart w:id="0" w:name="o57"/>
      <w:bookmarkStart w:id="1" w:name="o60"/>
      <w:bookmarkStart w:id="2" w:name="o62"/>
      <w:bookmarkEnd w:id="0"/>
      <w:bookmarkEnd w:id="1"/>
      <w:bookmarkEnd w:id="2"/>
      <w:r w:rsidRPr="00200036">
        <w:rPr>
          <w:lang w:eastAsia="ru-RU"/>
        </w:rPr>
        <w:t xml:space="preserve">кількість суб’єктів господарювання та/або фізичних осіб, на яких поширюватиметься дія </w:t>
      </w:r>
      <w:r w:rsidR="002B7694" w:rsidRPr="00F40B60">
        <w:t>регуляторного</w:t>
      </w:r>
      <w:r w:rsidR="002B7694" w:rsidRPr="00200036">
        <w:rPr>
          <w:lang w:eastAsia="ru-RU"/>
        </w:rPr>
        <w:t xml:space="preserve"> </w:t>
      </w:r>
      <w:r w:rsidRPr="00200036">
        <w:rPr>
          <w:lang w:eastAsia="ru-RU"/>
        </w:rPr>
        <w:t>акта.</w:t>
      </w:r>
    </w:p>
    <w:p w14:paraId="2B4BF5EC" w14:textId="70BBBD4D" w:rsidR="00166FE7" w:rsidRPr="00200036" w:rsidRDefault="008B263D" w:rsidP="00C67A22">
      <w:pPr>
        <w:ind w:firstLine="567"/>
        <w:rPr>
          <w:lang w:eastAsia="ru-RU"/>
        </w:rPr>
      </w:pPr>
      <w:r w:rsidRPr="00200036">
        <w:t>Станом на 01</w:t>
      </w:r>
      <w:r w:rsidR="002B7694">
        <w:t xml:space="preserve"> жовтня </w:t>
      </w:r>
      <w:r w:rsidRPr="00200036">
        <w:t>2023</w:t>
      </w:r>
      <w:r w:rsidR="002B7694">
        <w:t xml:space="preserve"> року</w:t>
      </w:r>
      <w:r w:rsidRPr="00200036">
        <w:t xml:space="preserve"> загальна кількість страховиків – </w:t>
      </w:r>
      <w:r w:rsidR="00DA6F8B" w:rsidRPr="00200036">
        <w:t>11</w:t>
      </w:r>
      <w:r w:rsidR="00DA6F8B">
        <w:t>1</w:t>
      </w:r>
      <w:r w:rsidRPr="00200036">
        <w:t xml:space="preserve">, </w:t>
      </w:r>
      <w:r w:rsidR="00960AE8">
        <w:t>і</w:t>
      </w:r>
      <w:r w:rsidRPr="00200036">
        <w:t>з них:</w:t>
      </w:r>
    </w:p>
    <w:p w14:paraId="1C262B17" w14:textId="77BCE51A" w:rsidR="008B263D" w:rsidRPr="00200036" w:rsidRDefault="00DA6F8B" w:rsidP="00C67A22">
      <w:pPr>
        <w:ind w:firstLine="567"/>
      </w:pPr>
      <w:r>
        <w:t>12</w:t>
      </w:r>
      <w:r w:rsidRPr="00200036">
        <w:t xml:space="preserve"> </w:t>
      </w:r>
      <w:r w:rsidR="002B7694">
        <w:t xml:space="preserve">‒ </w:t>
      </w:r>
      <w:r w:rsidR="008B263D" w:rsidRPr="00200036">
        <w:t xml:space="preserve">страховики, які провадять діяльність зі страхування життя, </w:t>
      </w:r>
    </w:p>
    <w:p w14:paraId="7F4FC859" w14:textId="22275171" w:rsidR="008B263D" w:rsidRPr="00200036" w:rsidRDefault="00DA6F8B" w:rsidP="00C67A22">
      <w:pPr>
        <w:ind w:firstLine="567"/>
      </w:pPr>
      <w:r>
        <w:lastRenderedPageBreak/>
        <w:t>99</w:t>
      </w:r>
      <w:r w:rsidRPr="00200036">
        <w:t xml:space="preserve"> </w:t>
      </w:r>
      <w:r w:rsidR="002B7694">
        <w:t xml:space="preserve">‒ </w:t>
      </w:r>
      <w:r w:rsidR="008B263D" w:rsidRPr="00200036">
        <w:t>страховик</w:t>
      </w:r>
      <w:r w:rsidR="002B7694">
        <w:t>и</w:t>
      </w:r>
      <w:r w:rsidR="008B263D" w:rsidRPr="00200036">
        <w:t>, які провадять діяльність зі страхування іншого, ніж страхування життя</w:t>
      </w:r>
      <w:r w:rsidR="00960AE8">
        <w:t>;</w:t>
      </w:r>
    </w:p>
    <w:p w14:paraId="32C60AF9" w14:textId="2B46F8E6" w:rsidR="00166FE7" w:rsidRPr="00200036" w:rsidRDefault="008B263D" w:rsidP="00C67A22">
      <w:pPr>
        <w:ind w:firstLine="567"/>
        <w:rPr>
          <w:lang w:eastAsia="ru-RU"/>
        </w:rPr>
      </w:pPr>
      <w:r w:rsidRPr="00200036">
        <w:t xml:space="preserve">2) </w:t>
      </w:r>
      <w:r w:rsidR="00960AE8">
        <w:t>к</w:t>
      </w:r>
      <w:r w:rsidR="006F5855" w:rsidRPr="00200036">
        <w:t xml:space="preserve">ошти </w:t>
      </w:r>
      <w:r w:rsidRPr="00200036">
        <w:t xml:space="preserve">і час, що витрачатимуть суб’єкти господарювання та/або фізичні особи у зв’язку з виконанням вимог регуляторного акта. Витрати коштів та часу фізичних осіб пов’язані з приведенням </w:t>
      </w:r>
      <w:r w:rsidR="002B7694">
        <w:t xml:space="preserve">їхньої діяльності </w:t>
      </w:r>
      <w:r w:rsidRPr="00200036">
        <w:t>у відповідність до вимог регуляторного акта</w:t>
      </w:r>
      <w:r w:rsidR="00960AE8">
        <w:t>;</w:t>
      </w:r>
    </w:p>
    <w:p w14:paraId="77171528" w14:textId="64605032" w:rsidR="00BC001D" w:rsidRPr="008B5F2F" w:rsidRDefault="00BC001D" w:rsidP="00C67A22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bookmarkStart w:id="3" w:name="o36"/>
      <w:bookmarkEnd w:id="3"/>
      <w:r>
        <w:rPr>
          <w:sz w:val="29"/>
          <w:szCs w:val="29"/>
          <w:lang w:eastAsia="en-US"/>
        </w:rPr>
        <w:t xml:space="preserve">3) </w:t>
      </w:r>
      <w:r w:rsidR="00960AE8">
        <w:rPr>
          <w:sz w:val="29"/>
          <w:szCs w:val="29"/>
          <w:lang w:eastAsia="en-US"/>
        </w:rPr>
        <w:t>о</w:t>
      </w:r>
      <w:r w:rsidRPr="00BC001D">
        <w:rPr>
          <w:sz w:val="29"/>
          <w:szCs w:val="29"/>
          <w:lang w:eastAsia="en-US"/>
        </w:rPr>
        <w:t>бсяг валових страхових премій</w:t>
      </w:r>
      <w:r w:rsidR="00BF32E8">
        <w:rPr>
          <w:sz w:val="29"/>
          <w:szCs w:val="29"/>
          <w:lang w:eastAsia="en-US"/>
        </w:rPr>
        <w:t>.</w:t>
      </w:r>
      <w:r w:rsidR="006F5855">
        <w:rPr>
          <w:sz w:val="29"/>
          <w:szCs w:val="29"/>
          <w:lang w:eastAsia="en-US"/>
        </w:rPr>
        <w:t xml:space="preserve"> </w:t>
      </w:r>
      <w:r w:rsidR="00BF32E8">
        <w:rPr>
          <w:sz w:val="29"/>
          <w:szCs w:val="29"/>
          <w:lang w:eastAsia="en-US"/>
        </w:rPr>
        <w:t xml:space="preserve">За </w:t>
      </w:r>
      <w:r w:rsidR="00E9430C">
        <w:rPr>
          <w:sz w:val="29"/>
          <w:szCs w:val="29"/>
          <w:lang w:eastAsia="en-US"/>
        </w:rPr>
        <w:t xml:space="preserve">даними звітності страховиків </w:t>
      </w:r>
      <w:r w:rsidR="00947786">
        <w:rPr>
          <w:sz w:val="29"/>
          <w:szCs w:val="29"/>
          <w:lang w:eastAsia="en-US"/>
        </w:rPr>
        <w:t xml:space="preserve">за </w:t>
      </w:r>
      <w:r w:rsidR="002B7694">
        <w:rPr>
          <w:sz w:val="29"/>
          <w:szCs w:val="29"/>
          <w:lang w:eastAsia="en-US"/>
        </w:rPr>
        <w:t>перше</w:t>
      </w:r>
      <w:r w:rsidR="00947786">
        <w:rPr>
          <w:sz w:val="29"/>
          <w:szCs w:val="29"/>
          <w:lang w:eastAsia="en-US"/>
        </w:rPr>
        <w:t xml:space="preserve"> півріччя 2023 року</w:t>
      </w:r>
      <w:r w:rsidR="00950B7E">
        <w:rPr>
          <w:sz w:val="29"/>
          <w:szCs w:val="29"/>
          <w:lang w:eastAsia="en-US"/>
        </w:rPr>
        <w:t>,</w:t>
      </w:r>
      <w:r w:rsidR="00947786">
        <w:rPr>
          <w:sz w:val="29"/>
          <w:szCs w:val="29"/>
          <w:lang w:eastAsia="en-US"/>
        </w:rPr>
        <w:t xml:space="preserve"> </w:t>
      </w:r>
      <w:r w:rsidR="00BF32E8">
        <w:rPr>
          <w:sz w:val="29"/>
          <w:szCs w:val="29"/>
          <w:lang w:eastAsia="en-US"/>
        </w:rPr>
        <w:t xml:space="preserve">такий показник </w:t>
      </w:r>
      <w:r w:rsidRPr="008B5F2F">
        <w:rPr>
          <w:sz w:val="29"/>
          <w:szCs w:val="29"/>
          <w:lang w:eastAsia="en-US"/>
        </w:rPr>
        <w:t xml:space="preserve">становить </w:t>
      </w:r>
      <w:r w:rsidR="008B5F2F" w:rsidRPr="008B5F2F">
        <w:rPr>
          <w:sz w:val="29"/>
          <w:szCs w:val="29"/>
          <w:lang w:val="ru-RU" w:eastAsia="en-US"/>
        </w:rPr>
        <w:t>21</w:t>
      </w:r>
      <w:r w:rsidR="008B5F2F" w:rsidRPr="008B5F2F">
        <w:rPr>
          <w:sz w:val="29"/>
          <w:szCs w:val="29"/>
          <w:lang w:val="en-US" w:eastAsia="en-US"/>
        </w:rPr>
        <w:t> </w:t>
      </w:r>
      <w:r w:rsidR="008B5F2F" w:rsidRPr="008B5F2F">
        <w:rPr>
          <w:sz w:val="29"/>
          <w:szCs w:val="29"/>
          <w:lang w:val="ru-RU" w:eastAsia="en-US"/>
        </w:rPr>
        <w:t>354</w:t>
      </w:r>
      <w:r w:rsidR="008B5F2F" w:rsidRPr="008B5F2F">
        <w:rPr>
          <w:sz w:val="29"/>
          <w:szCs w:val="29"/>
          <w:lang w:eastAsia="en-US"/>
        </w:rPr>
        <w:t>,7</w:t>
      </w:r>
      <w:r w:rsidRPr="008B5F2F">
        <w:rPr>
          <w:sz w:val="29"/>
          <w:szCs w:val="29"/>
          <w:lang w:eastAsia="en-US"/>
        </w:rPr>
        <w:t xml:space="preserve"> млн грн, </w:t>
      </w:r>
      <w:r w:rsidR="00960AE8">
        <w:rPr>
          <w:sz w:val="29"/>
          <w:szCs w:val="29"/>
          <w:lang w:eastAsia="en-US"/>
        </w:rPr>
        <w:t>і</w:t>
      </w:r>
      <w:r w:rsidRPr="008B5F2F">
        <w:rPr>
          <w:sz w:val="29"/>
          <w:szCs w:val="29"/>
          <w:lang w:eastAsia="en-US"/>
        </w:rPr>
        <w:t>з них:</w:t>
      </w:r>
    </w:p>
    <w:p w14:paraId="4B93A7D3" w14:textId="5DF17C88" w:rsidR="00BC001D" w:rsidRPr="008B5F2F" w:rsidRDefault="00E22DC6" w:rsidP="00C67A22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r w:rsidRPr="008B5F2F">
        <w:rPr>
          <w:sz w:val="29"/>
          <w:szCs w:val="29"/>
          <w:lang w:eastAsia="en-US"/>
        </w:rPr>
        <w:t>2 259,9</w:t>
      </w:r>
      <w:r w:rsidR="00BC001D" w:rsidRPr="008B5F2F">
        <w:rPr>
          <w:sz w:val="29"/>
          <w:szCs w:val="29"/>
          <w:lang w:eastAsia="en-US"/>
        </w:rPr>
        <w:t xml:space="preserve"> млн грн </w:t>
      </w:r>
      <w:r w:rsidR="00E9430C" w:rsidRPr="009B7366">
        <w:t>за договорами страхування життя</w:t>
      </w:r>
      <w:r w:rsidR="00950B7E">
        <w:t>;</w:t>
      </w:r>
    </w:p>
    <w:p w14:paraId="7A9A3313" w14:textId="14435C9A" w:rsidR="009C6FC7" w:rsidRPr="008B5F2F" w:rsidRDefault="008B5F2F" w:rsidP="00C67A22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r w:rsidRPr="008B5F2F">
        <w:rPr>
          <w:sz w:val="29"/>
          <w:szCs w:val="29"/>
          <w:lang w:eastAsia="en-US"/>
        </w:rPr>
        <w:t>19 094,8</w:t>
      </w:r>
      <w:r w:rsidR="00BC001D" w:rsidRPr="008B5F2F">
        <w:rPr>
          <w:sz w:val="29"/>
          <w:szCs w:val="29"/>
          <w:lang w:eastAsia="en-US"/>
        </w:rPr>
        <w:t xml:space="preserve"> млн грн </w:t>
      </w:r>
      <w:r w:rsidR="00E9430C" w:rsidRPr="009B7366">
        <w:t>за договорами страхування</w:t>
      </w:r>
      <w:r w:rsidR="00E9430C">
        <w:t xml:space="preserve"> іншого, ніж страхування життя</w:t>
      </w:r>
      <w:r w:rsidR="00960AE8">
        <w:rPr>
          <w:sz w:val="29"/>
          <w:szCs w:val="29"/>
          <w:lang w:eastAsia="en-US"/>
        </w:rPr>
        <w:t>;</w:t>
      </w:r>
    </w:p>
    <w:p w14:paraId="24DA6225" w14:textId="240921C5" w:rsidR="00BC001D" w:rsidRPr="00BC001D" w:rsidRDefault="009C6FC7" w:rsidP="00C67A22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r>
        <w:t>4</w:t>
      </w:r>
      <w:r w:rsidR="001927BB">
        <w:t xml:space="preserve">) </w:t>
      </w:r>
      <w:r w:rsidR="00960AE8">
        <w:t>о</w:t>
      </w:r>
      <w:r w:rsidR="00BC001D">
        <w:t>бсяг сформованих страхових резервів</w:t>
      </w:r>
      <w:r w:rsidR="00BF32E8">
        <w:t>.</w:t>
      </w:r>
      <w:r w:rsidR="00E9430C">
        <w:t xml:space="preserve"> </w:t>
      </w:r>
      <w:r w:rsidR="00BF32E8">
        <w:rPr>
          <w:sz w:val="29"/>
          <w:szCs w:val="29"/>
          <w:lang w:eastAsia="en-US"/>
        </w:rPr>
        <w:t xml:space="preserve">За </w:t>
      </w:r>
      <w:r w:rsidR="00E9430C">
        <w:rPr>
          <w:sz w:val="29"/>
          <w:szCs w:val="29"/>
          <w:lang w:eastAsia="en-US"/>
        </w:rPr>
        <w:t>даними звітності страховиків</w:t>
      </w:r>
      <w:r w:rsidR="00947786">
        <w:rPr>
          <w:sz w:val="29"/>
          <w:szCs w:val="29"/>
          <w:lang w:eastAsia="en-US"/>
        </w:rPr>
        <w:t xml:space="preserve"> </w:t>
      </w:r>
      <w:r w:rsidR="006F5855">
        <w:rPr>
          <w:lang w:val="ru-RU"/>
        </w:rPr>
        <w:t xml:space="preserve">станом на </w:t>
      </w:r>
      <w:r w:rsidR="006F5855">
        <w:t>01</w:t>
      </w:r>
      <w:r w:rsidR="00950B7E">
        <w:rPr>
          <w:sz w:val="29"/>
          <w:szCs w:val="29"/>
          <w:lang w:eastAsia="en-US"/>
        </w:rPr>
        <w:t xml:space="preserve"> липня </w:t>
      </w:r>
      <w:r w:rsidR="006F5855">
        <w:rPr>
          <w:sz w:val="29"/>
          <w:szCs w:val="29"/>
          <w:lang w:eastAsia="en-US"/>
        </w:rPr>
        <w:t>2023</w:t>
      </w:r>
      <w:r w:rsidR="00950B7E">
        <w:rPr>
          <w:sz w:val="29"/>
          <w:szCs w:val="29"/>
          <w:lang w:eastAsia="en-US"/>
        </w:rPr>
        <w:t xml:space="preserve"> року,</w:t>
      </w:r>
      <w:r w:rsidR="00BC001D" w:rsidRPr="00BC001D">
        <w:rPr>
          <w:sz w:val="29"/>
          <w:szCs w:val="29"/>
          <w:lang w:eastAsia="en-US"/>
        </w:rPr>
        <w:t xml:space="preserve"> </w:t>
      </w:r>
      <w:r w:rsidR="00BF32E8">
        <w:rPr>
          <w:sz w:val="29"/>
          <w:szCs w:val="29"/>
          <w:lang w:eastAsia="en-US"/>
        </w:rPr>
        <w:t xml:space="preserve">такий показник </w:t>
      </w:r>
      <w:r w:rsidR="00BC001D" w:rsidRPr="00BC001D">
        <w:rPr>
          <w:sz w:val="29"/>
          <w:szCs w:val="29"/>
          <w:lang w:eastAsia="en-US"/>
        </w:rPr>
        <w:t>становить</w:t>
      </w:r>
      <w:r w:rsidR="00BC001D">
        <w:rPr>
          <w:sz w:val="29"/>
          <w:szCs w:val="29"/>
          <w:lang w:eastAsia="en-US"/>
        </w:rPr>
        <w:t xml:space="preserve"> </w:t>
      </w:r>
      <w:r w:rsidR="00D75B25">
        <w:rPr>
          <w:sz w:val="29"/>
          <w:szCs w:val="29"/>
          <w:lang w:eastAsia="en-US"/>
        </w:rPr>
        <w:t>42</w:t>
      </w:r>
      <w:r w:rsidR="00E22DC6">
        <w:rPr>
          <w:sz w:val="29"/>
          <w:szCs w:val="29"/>
          <w:lang w:eastAsia="en-US"/>
        </w:rPr>
        <w:t xml:space="preserve"> 480,9 </w:t>
      </w:r>
      <w:r w:rsidR="00D75B25" w:rsidRPr="00BC001D">
        <w:rPr>
          <w:sz w:val="29"/>
          <w:szCs w:val="29"/>
          <w:lang w:eastAsia="en-US"/>
        </w:rPr>
        <w:t>мл</w:t>
      </w:r>
      <w:r w:rsidR="00E22DC6">
        <w:rPr>
          <w:sz w:val="29"/>
          <w:szCs w:val="29"/>
          <w:lang w:eastAsia="en-US"/>
        </w:rPr>
        <w:t>н</w:t>
      </w:r>
      <w:r w:rsidR="00D75B25" w:rsidRPr="00BC001D">
        <w:rPr>
          <w:sz w:val="29"/>
          <w:szCs w:val="29"/>
          <w:lang w:eastAsia="en-US"/>
        </w:rPr>
        <w:t xml:space="preserve"> </w:t>
      </w:r>
      <w:r w:rsidR="00BC001D" w:rsidRPr="00BC001D">
        <w:rPr>
          <w:sz w:val="29"/>
          <w:szCs w:val="29"/>
          <w:lang w:eastAsia="en-US"/>
        </w:rPr>
        <w:t xml:space="preserve">грн, </w:t>
      </w:r>
      <w:r w:rsidR="00960AE8">
        <w:rPr>
          <w:sz w:val="29"/>
          <w:szCs w:val="29"/>
          <w:lang w:eastAsia="en-US"/>
        </w:rPr>
        <w:t>і</w:t>
      </w:r>
      <w:r w:rsidR="00BC001D" w:rsidRPr="00BC001D">
        <w:rPr>
          <w:sz w:val="29"/>
          <w:szCs w:val="29"/>
          <w:lang w:eastAsia="en-US"/>
        </w:rPr>
        <w:t>з них:</w:t>
      </w:r>
    </w:p>
    <w:p w14:paraId="68F3E8BA" w14:textId="0D61560A" w:rsidR="00BC001D" w:rsidRPr="00BC001D" w:rsidRDefault="00D75B25" w:rsidP="00C67A22">
      <w:pPr>
        <w:autoSpaceDE w:val="0"/>
        <w:autoSpaceDN w:val="0"/>
        <w:adjustRightInd w:val="0"/>
        <w:ind w:firstLine="567"/>
        <w:jc w:val="left"/>
        <w:rPr>
          <w:sz w:val="29"/>
          <w:szCs w:val="29"/>
          <w:lang w:eastAsia="en-US"/>
        </w:rPr>
      </w:pPr>
      <w:r>
        <w:rPr>
          <w:sz w:val="29"/>
          <w:szCs w:val="29"/>
          <w:lang w:eastAsia="en-US"/>
        </w:rPr>
        <w:t>18</w:t>
      </w:r>
      <w:r w:rsidR="00E22DC6">
        <w:rPr>
          <w:sz w:val="29"/>
          <w:szCs w:val="29"/>
          <w:lang w:eastAsia="en-US"/>
        </w:rPr>
        <w:t> 119,</w:t>
      </w:r>
      <w:r w:rsidR="00081836">
        <w:rPr>
          <w:sz w:val="29"/>
          <w:szCs w:val="29"/>
          <w:lang w:eastAsia="en-US"/>
        </w:rPr>
        <w:t>1</w:t>
      </w:r>
      <w:r w:rsidR="00BC001D" w:rsidRPr="00BC001D">
        <w:rPr>
          <w:sz w:val="29"/>
          <w:szCs w:val="29"/>
          <w:lang w:eastAsia="en-US"/>
        </w:rPr>
        <w:t xml:space="preserve"> </w:t>
      </w:r>
      <w:r w:rsidRPr="00BC001D">
        <w:rPr>
          <w:sz w:val="29"/>
          <w:szCs w:val="29"/>
          <w:lang w:eastAsia="en-US"/>
        </w:rPr>
        <w:t>мл</w:t>
      </w:r>
      <w:r w:rsidR="00E22DC6">
        <w:rPr>
          <w:sz w:val="29"/>
          <w:szCs w:val="29"/>
          <w:lang w:eastAsia="en-US"/>
        </w:rPr>
        <w:t>н</w:t>
      </w:r>
      <w:r w:rsidRPr="00BC001D">
        <w:rPr>
          <w:sz w:val="29"/>
          <w:szCs w:val="29"/>
          <w:lang w:eastAsia="en-US"/>
        </w:rPr>
        <w:t xml:space="preserve"> </w:t>
      </w:r>
      <w:r w:rsidR="00BC001D" w:rsidRPr="00BC001D">
        <w:rPr>
          <w:sz w:val="29"/>
          <w:szCs w:val="29"/>
          <w:lang w:eastAsia="en-US"/>
        </w:rPr>
        <w:t xml:space="preserve">грн </w:t>
      </w:r>
      <w:r w:rsidR="006F5855">
        <w:t xml:space="preserve">сформовано </w:t>
      </w:r>
      <w:r w:rsidR="006F5855" w:rsidRPr="009B7366">
        <w:t>за договорами страхування життя</w:t>
      </w:r>
      <w:r w:rsidR="00950B7E">
        <w:t>;</w:t>
      </w:r>
    </w:p>
    <w:p w14:paraId="703405C1" w14:textId="06EDD201" w:rsidR="00BC001D" w:rsidRDefault="00D75B25" w:rsidP="00E9430C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r>
        <w:rPr>
          <w:sz w:val="29"/>
          <w:szCs w:val="29"/>
          <w:lang w:eastAsia="en-US"/>
        </w:rPr>
        <w:t>24</w:t>
      </w:r>
      <w:r w:rsidR="00081836">
        <w:rPr>
          <w:sz w:val="29"/>
          <w:szCs w:val="29"/>
          <w:lang w:eastAsia="en-US"/>
        </w:rPr>
        <w:t> 361,8</w:t>
      </w:r>
      <w:r w:rsidR="00BC001D" w:rsidRPr="00BC001D">
        <w:rPr>
          <w:sz w:val="29"/>
          <w:szCs w:val="29"/>
          <w:lang w:eastAsia="en-US"/>
        </w:rPr>
        <w:t xml:space="preserve"> </w:t>
      </w:r>
      <w:r w:rsidR="006F5855" w:rsidRPr="00BC001D">
        <w:rPr>
          <w:sz w:val="29"/>
          <w:szCs w:val="29"/>
          <w:lang w:eastAsia="en-US"/>
        </w:rPr>
        <w:t>мл</w:t>
      </w:r>
      <w:r w:rsidR="006F5855">
        <w:rPr>
          <w:sz w:val="29"/>
          <w:szCs w:val="29"/>
          <w:lang w:eastAsia="en-US"/>
        </w:rPr>
        <w:t>н</w:t>
      </w:r>
      <w:r w:rsidR="006F5855" w:rsidRPr="00BC001D">
        <w:rPr>
          <w:sz w:val="29"/>
          <w:szCs w:val="29"/>
          <w:lang w:eastAsia="en-US"/>
        </w:rPr>
        <w:t xml:space="preserve"> </w:t>
      </w:r>
      <w:r w:rsidR="00BC001D" w:rsidRPr="00BC001D">
        <w:rPr>
          <w:sz w:val="29"/>
          <w:szCs w:val="29"/>
          <w:lang w:eastAsia="en-US"/>
        </w:rPr>
        <w:t xml:space="preserve">грн </w:t>
      </w:r>
      <w:r w:rsidR="006F5855">
        <w:t xml:space="preserve">сформовано </w:t>
      </w:r>
      <w:r w:rsidR="006F5855" w:rsidRPr="009B7366">
        <w:t>за договорами страхування</w:t>
      </w:r>
      <w:r w:rsidR="006F5855">
        <w:t xml:space="preserve"> іншого, ніж страхування життя</w:t>
      </w:r>
      <w:r w:rsidR="00BC001D" w:rsidRPr="00BC001D">
        <w:rPr>
          <w:sz w:val="29"/>
          <w:szCs w:val="29"/>
          <w:lang w:eastAsia="en-US"/>
        </w:rPr>
        <w:t>.</w:t>
      </w:r>
    </w:p>
    <w:p w14:paraId="16CDA351" w14:textId="77777777" w:rsidR="00AE1D26" w:rsidRPr="00200036" w:rsidRDefault="00E07027" w:rsidP="00C67A22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r w:rsidRPr="00200036">
        <w:rPr>
          <w:sz w:val="29"/>
          <w:szCs w:val="29"/>
          <w:lang w:eastAsia="en-US"/>
        </w:rPr>
        <w:t xml:space="preserve">Якісним показником результативності є виконання суб’єктами господарювання вимог регуляторного акта </w:t>
      </w:r>
      <w:r w:rsidR="00063A13" w:rsidRPr="00200036">
        <w:rPr>
          <w:sz w:val="29"/>
          <w:szCs w:val="29"/>
          <w:lang w:eastAsia="en-US"/>
        </w:rPr>
        <w:t>під час</w:t>
      </w:r>
      <w:r w:rsidR="0070083C" w:rsidRPr="00200036">
        <w:rPr>
          <w:sz w:val="29"/>
          <w:szCs w:val="29"/>
          <w:lang w:eastAsia="en-US"/>
        </w:rPr>
        <w:t xml:space="preserve"> </w:t>
      </w:r>
      <w:r w:rsidRPr="00200036">
        <w:rPr>
          <w:sz w:val="29"/>
          <w:szCs w:val="29"/>
          <w:lang w:eastAsia="en-US"/>
        </w:rPr>
        <w:t>здійсненн</w:t>
      </w:r>
      <w:r w:rsidR="00063A13" w:rsidRPr="00200036">
        <w:rPr>
          <w:sz w:val="29"/>
          <w:szCs w:val="29"/>
          <w:lang w:eastAsia="en-US"/>
        </w:rPr>
        <w:t>я</w:t>
      </w:r>
      <w:r w:rsidRPr="00200036">
        <w:rPr>
          <w:sz w:val="29"/>
          <w:szCs w:val="29"/>
          <w:lang w:eastAsia="en-US"/>
        </w:rPr>
        <w:t xml:space="preserve"> діяльності </w:t>
      </w:r>
      <w:r w:rsidRPr="00200036">
        <w:rPr>
          <w:rFonts w:eastAsia="Calibri"/>
          <w:lang w:eastAsia="en-US"/>
        </w:rPr>
        <w:t>з</w:t>
      </w:r>
      <w:r w:rsidR="008B263D" w:rsidRPr="00200036">
        <w:rPr>
          <w:rFonts w:eastAsia="Calibri"/>
          <w:lang w:eastAsia="en-US"/>
        </w:rPr>
        <w:t>і</w:t>
      </w:r>
      <w:r w:rsidRPr="00200036">
        <w:rPr>
          <w:rFonts w:eastAsia="Calibri"/>
          <w:lang w:eastAsia="en-US"/>
        </w:rPr>
        <w:t xml:space="preserve"> страхування</w:t>
      </w:r>
      <w:r w:rsidRPr="00200036">
        <w:rPr>
          <w:sz w:val="29"/>
          <w:szCs w:val="29"/>
          <w:lang w:eastAsia="en-US"/>
        </w:rPr>
        <w:t xml:space="preserve">. </w:t>
      </w:r>
      <w:r w:rsidR="001E2B27" w:rsidRPr="00200036">
        <w:rPr>
          <w:sz w:val="29"/>
          <w:szCs w:val="29"/>
          <w:lang w:eastAsia="en-US"/>
        </w:rPr>
        <w:t>Висновок щодо цього показника можна буде зробити за результатами застосування його норм на практиці</w:t>
      </w:r>
      <w:r w:rsidR="001E2B27" w:rsidRPr="00200036">
        <w:rPr>
          <w:lang w:val="ru-RU" w:eastAsia="ru-RU"/>
        </w:rPr>
        <w:t>.</w:t>
      </w:r>
    </w:p>
    <w:p w14:paraId="69FF2AF9" w14:textId="77777777" w:rsidR="00346C90" w:rsidRPr="00200036" w:rsidRDefault="00346C90" w:rsidP="00C67A22">
      <w:pPr>
        <w:tabs>
          <w:tab w:val="left" w:pos="1147"/>
        </w:tabs>
        <w:ind w:firstLine="567"/>
        <w:rPr>
          <w:b/>
          <w:lang w:eastAsia="zh-CN"/>
        </w:rPr>
      </w:pPr>
    </w:p>
    <w:p w14:paraId="7D207668" w14:textId="14E4B957" w:rsidR="00346C90" w:rsidRPr="00200036" w:rsidRDefault="0045062E" w:rsidP="00C67A22">
      <w:pPr>
        <w:ind w:firstLine="567"/>
        <w:rPr>
          <w:b/>
          <w:lang w:eastAsia="zh-CN"/>
        </w:rPr>
      </w:pPr>
      <w:r w:rsidRPr="00200036">
        <w:rPr>
          <w:b/>
        </w:rPr>
        <w:t>ІХ</w:t>
      </w:r>
      <w:r w:rsidR="00346C90" w:rsidRPr="00200036">
        <w:rPr>
          <w:b/>
          <w:lang w:eastAsia="zh-CN"/>
        </w:rPr>
        <w:t xml:space="preserve">. Визначення заходів, з допомогою яких </w:t>
      </w:r>
      <w:r w:rsidR="00F40B60">
        <w:rPr>
          <w:b/>
          <w:lang w:eastAsia="zh-CN"/>
        </w:rPr>
        <w:t xml:space="preserve">буде </w:t>
      </w:r>
      <w:r w:rsidR="0043384B" w:rsidRPr="00200036">
        <w:rPr>
          <w:b/>
          <w:lang w:eastAsia="zh-CN"/>
        </w:rPr>
        <w:t xml:space="preserve">здійснюватися </w:t>
      </w:r>
      <w:r w:rsidR="00346C90" w:rsidRPr="00200036">
        <w:rPr>
          <w:b/>
          <w:lang w:eastAsia="zh-CN"/>
        </w:rPr>
        <w:t>відстеж</w:t>
      </w:r>
      <w:r w:rsidR="0043384B" w:rsidRPr="00200036">
        <w:rPr>
          <w:b/>
          <w:lang w:eastAsia="zh-CN"/>
        </w:rPr>
        <w:t xml:space="preserve">ення </w:t>
      </w:r>
      <w:r w:rsidR="00346C90" w:rsidRPr="00200036">
        <w:rPr>
          <w:b/>
          <w:lang w:eastAsia="zh-CN"/>
        </w:rPr>
        <w:t>результативн</w:t>
      </w:r>
      <w:r w:rsidR="0043384B" w:rsidRPr="00200036">
        <w:rPr>
          <w:b/>
          <w:lang w:eastAsia="zh-CN"/>
        </w:rPr>
        <w:t xml:space="preserve">ості </w:t>
      </w:r>
      <w:r w:rsidR="00346C90" w:rsidRPr="00200036">
        <w:rPr>
          <w:b/>
          <w:lang w:eastAsia="zh-CN"/>
        </w:rPr>
        <w:t xml:space="preserve">акта </w:t>
      </w:r>
    </w:p>
    <w:p w14:paraId="616B7FD2" w14:textId="12093123" w:rsidR="00D9195A" w:rsidRPr="00200036" w:rsidRDefault="00D9195A" w:rsidP="00C67A22">
      <w:pPr>
        <w:ind w:firstLine="567"/>
        <w:rPr>
          <w:bCs/>
          <w:lang w:eastAsia="zh-CN"/>
        </w:rPr>
      </w:pPr>
      <w:r w:rsidRPr="00200036">
        <w:rPr>
          <w:bCs/>
          <w:lang w:eastAsia="zh-CN"/>
        </w:rPr>
        <w:t>Відповідно до статей 3</w:t>
      </w:r>
      <w:r w:rsidR="00960AE8">
        <w:rPr>
          <w:bCs/>
          <w:lang w:eastAsia="zh-CN"/>
        </w:rPr>
        <w:t>,</w:t>
      </w:r>
      <w:r w:rsidRPr="00200036">
        <w:rPr>
          <w:bCs/>
          <w:lang w:eastAsia="zh-CN"/>
        </w:rPr>
        <w:t xml:space="preserve">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</w:t>
      </w:r>
      <w:r w:rsidR="00063A13" w:rsidRPr="00200036">
        <w:rPr>
          <w:bCs/>
          <w:lang w:eastAsia="zh-CN"/>
        </w:rPr>
        <w:t xml:space="preserve"> України</w:t>
      </w:r>
      <w:r w:rsidRPr="00200036">
        <w:rPr>
          <w:bCs/>
          <w:lang w:eastAsia="zh-CN"/>
        </w:rPr>
        <w:t>, затвердженої постановою Кабінету Міністрів України і Національного банку України від 14</w:t>
      </w:r>
      <w:r w:rsidR="00950B7E">
        <w:rPr>
          <w:bCs/>
          <w:lang w:eastAsia="zh-CN"/>
        </w:rPr>
        <w:t xml:space="preserve"> квітня </w:t>
      </w:r>
      <w:r w:rsidRPr="00200036">
        <w:rPr>
          <w:bCs/>
          <w:lang w:eastAsia="zh-CN"/>
        </w:rPr>
        <w:t>2004</w:t>
      </w:r>
      <w:r w:rsidR="00950B7E">
        <w:rPr>
          <w:bCs/>
          <w:lang w:eastAsia="zh-CN"/>
        </w:rPr>
        <w:t xml:space="preserve"> року</w:t>
      </w:r>
      <w:r w:rsidRPr="00200036">
        <w:rPr>
          <w:bCs/>
          <w:lang w:eastAsia="zh-CN"/>
        </w:rPr>
        <w:t xml:space="preserve"> № 471</w:t>
      </w:r>
      <w:r w:rsidR="00063A13" w:rsidRPr="00200036">
        <w:rPr>
          <w:bCs/>
          <w:lang w:eastAsia="zh-CN"/>
        </w:rPr>
        <w:t xml:space="preserve"> (зі змінами)</w:t>
      </w:r>
      <w:r w:rsidRPr="00200036">
        <w:rPr>
          <w:bCs/>
          <w:lang w:eastAsia="zh-CN"/>
        </w:rPr>
        <w:t>.</w:t>
      </w:r>
    </w:p>
    <w:p w14:paraId="741387DB" w14:textId="77777777" w:rsidR="00D9195A" w:rsidRPr="00200036" w:rsidRDefault="00D9195A" w:rsidP="00C67A22">
      <w:pPr>
        <w:ind w:firstLine="567"/>
        <w:rPr>
          <w:bCs/>
          <w:lang w:eastAsia="zh-CN"/>
        </w:rPr>
      </w:pPr>
      <w:bookmarkStart w:id="4" w:name="_Hlk528784927"/>
      <w:r w:rsidRPr="00200036">
        <w:rPr>
          <w:bCs/>
          <w:lang w:eastAsia="zh-CN"/>
        </w:rPr>
        <w:t>Відстеження результативності регуляторного акта проводити</w:t>
      </w:r>
      <w:r w:rsidR="00AD1AD5" w:rsidRPr="00200036">
        <w:rPr>
          <w:bCs/>
          <w:lang w:eastAsia="zh-CN"/>
        </w:rPr>
        <w:t>меться</w:t>
      </w:r>
      <w:r w:rsidRPr="00200036">
        <w:rPr>
          <w:bCs/>
          <w:lang w:eastAsia="zh-CN"/>
        </w:rP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</w:t>
      </w:r>
    </w:p>
    <w:bookmarkEnd w:id="4"/>
    <w:p w14:paraId="2C4FE455" w14:textId="05AED4B3" w:rsidR="00D9195A" w:rsidRPr="00200036" w:rsidRDefault="00D9195A" w:rsidP="00C67A22">
      <w:pPr>
        <w:ind w:firstLine="567"/>
        <w:rPr>
          <w:bCs/>
          <w:lang w:eastAsia="zh-CN"/>
        </w:rPr>
      </w:pPr>
      <w:r w:rsidRPr="00200036">
        <w:rPr>
          <w:bCs/>
          <w:lang w:eastAsia="zh-CN"/>
        </w:rPr>
        <w:t xml:space="preserve">Базове відстеження результативності регуляторного акта здійснюватиметься протягом року з дня набрання чинності </w:t>
      </w:r>
      <w:r w:rsidR="007B2588">
        <w:t>регуляторним</w:t>
      </w:r>
      <w:r w:rsidR="007B2588" w:rsidRPr="00200036">
        <w:rPr>
          <w:bCs/>
          <w:lang w:eastAsia="zh-CN"/>
        </w:rPr>
        <w:t xml:space="preserve"> </w:t>
      </w:r>
      <w:r w:rsidRPr="00200036">
        <w:rPr>
          <w:bCs/>
          <w:lang w:eastAsia="zh-CN"/>
        </w:rPr>
        <w:t>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0FF74974" w14:textId="77777777" w:rsidR="00D9195A" w:rsidRPr="00200036" w:rsidRDefault="00D9195A" w:rsidP="00C67A22">
      <w:pPr>
        <w:ind w:firstLine="567"/>
        <w:rPr>
          <w:bCs/>
          <w:lang w:eastAsia="zh-CN"/>
        </w:rPr>
      </w:pPr>
      <w:r w:rsidRPr="00200036">
        <w:rPr>
          <w:bCs/>
          <w:lang w:eastAsia="zh-CN"/>
        </w:rPr>
        <w:t>Повторне відстеження пров</w:t>
      </w:r>
      <w:r w:rsidR="00AD1AD5" w:rsidRPr="00200036">
        <w:rPr>
          <w:bCs/>
          <w:lang w:eastAsia="zh-CN"/>
        </w:rPr>
        <w:t>одитиметься</w:t>
      </w:r>
      <w:r w:rsidRPr="00200036">
        <w:rPr>
          <w:bCs/>
          <w:lang w:eastAsia="zh-CN"/>
        </w:rPr>
        <w:t xml:space="preserve"> не пізніше двох років </w:t>
      </w:r>
      <w:r w:rsidR="0045062E" w:rsidRPr="00200036">
        <w:rPr>
          <w:bCs/>
          <w:lang w:eastAsia="zh-CN"/>
        </w:rPr>
        <w:t>і</w:t>
      </w:r>
      <w:r w:rsidRPr="00200036">
        <w:rPr>
          <w:bCs/>
          <w:lang w:eastAsia="zh-CN"/>
        </w:rPr>
        <w:t>з дня набрання чинності регуляторним актом.</w:t>
      </w:r>
    </w:p>
    <w:p w14:paraId="1CC99FF0" w14:textId="77777777" w:rsidR="00D9195A" w:rsidRPr="00200036" w:rsidRDefault="00D9195A" w:rsidP="00C67A22">
      <w:pPr>
        <w:ind w:firstLine="567"/>
        <w:rPr>
          <w:bCs/>
          <w:shd w:val="clear" w:color="auto" w:fill="FFFFFF"/>
        </w:rPr>
      </w:pPr>
      <w:r w:rsidRPr="00200036">
        <w:rPr>
          <w:bCs/>
          <w:lang w:eastAsia="zh-CN"/>
        </w:rPr>
        <w:lastRenderedPageBreak/>
        <w:t xml:space="preserve">Періодичне відстеження результативності – </w:t>
      </w:r>
      <w:r w:rsidR="00AD1AD5" w:rsidRPr="00200036">
        <w:rPr>
          <w:bCs/>
          <w:lang w:eastAsia="zh-CN"/>
        </w:rPr>
        <w:t xml:space="preserve">один </w:t>
      </w:r>
      <w:r w:rsidRPr="00200036">
        <w:rPr>
          <w:bCs/>
          <w:lang w:eastAsia="zh-CN"/>
        </w:rPr>
        <w:t xml:space="preserve">раз на кожні три роки </w:t>
      </w:r>
      <w:r w:rsidRPr="00200036">
        <w:rPr>
          <w:bCs/>
          <w:shd w:val="clear" w:color="auto" w:fill="FFFFFF"/>
        </w:rPr>
        <w:t>з дня закінчення заходів із повт</w:t>
      </w:r>
      <w:bookmarkStart w:id="5" w:name="_GoBack"/>
      <w:bookmarkEnd w:id="5"/>
      <w:r w:rsidRPr="00200036">
        <w:rPr>
          <w:bCs/>
          <w:shd w:val="clear" w:color="auto" w:fill="FFFFFF"/>
        </w:rPr>
        <w:t>орного відстеження результативності регуляторного акта.</w:t>
      </w:r>
    </w:p>
    <w:p w14:paraId="7E0987E2" w14:textId="13521A4A" w:rsidR="009F0A4E" w:rsidRPr="00200036" w:rsidRDefault="009F0A4E" w:rsidP="00C67A22">
      <w:pPr>
        <w:ind w:firstLine="567"/>
        <w:rPr>
          <w:bCs/>
          <w:lang w:eastAsia="zh-CN"/>
        </w:rPr>
      </w:pPr>
      <w:r w:rsidRPr="00200036">
        <w:t xml:space="preserve">Для відстеження результативності </w:t>
      </w:r>
      <w:r w:rsidR="00950B7E" w:rsidRPr="00200036">
        <w:rPr>
          <w:bCs/>
          <w:shd w:val="clear" w:color="auto" w:fill="FFFFFF"/>
        </w:rPr>
        <w:t>регуляторного</w:t>
      </w:r>
      <w:r w:rsidR="00950B7E" w:rsidRPr="00200036">
        <w:t xml:space="preserve"> </w:t>
      </w:r>
      <w:r w:rsidRPr="00200036">
        <w:t xml:space="preserve">акта Національний банк використовуватиме дані, отримані за результатами </w:t>
      </w:r>
      <w:r w:rsidR="00881F95" w:rsidRPr="00200036">
        <w:t xml:space="preserve">регулювання </w:t>
      </w:r>
      <w:r w:rsidRPr="00200036">
        <w:t xml:space="preserve">діяльності </w:t>
      </w:r>
      <w:r w:rsidR="00881F95" w:rsidRPr="00200036">
        <w:t>страхови</w:t>
      </w:r>
      <w:r w:rsidR="005438AA" w:rsidRPr="00200036">
        <w:t>ків</w:t>
      </w:r>
      <w:r w:rsidRPr="00200036">
        <w:t>.</w:t>
      </w:r>
    </w:p>
    <w:p w14:paraId="4EAEF72A" w14:textId="77777777" w:rsidR="00D9195A" w:rsidRPr="00200036" w:rsidRDefault="00D9195A" w:rsidP="00C67A22">
      <w:pPr>
        <w:ind w:firstLine="567"/>
        <w:rPr>
          <w:lang w:eastAsia="zh-CN"/>
        </w:rPr>
      </w:pPr>
      <w:r w:rsidRPr="00200036">
        <w:rPr>
          <w:bCs/>
          <w:lang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 Інтернет-представництва</w:t>
      </w:r>
      <w:r w:rsidRPr="00200036">
        <w:rPr>
          <w:lang w:eastAsia="zh-CN"/>
        </w:rPr>
        <w:t xml:space="preserve"> Національного банку.</w:t>
      </w:r>
    </w:p>
    <w:tbl>
      <w:tblPr>
        <w:tblStyle w:val="a9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DD60CC" w:rsidRPr="00200036" w14:paraId="5B8993E8" w14:textId="77777777" w:rsidTr="00F13023">
        <w:trPr>
          <w:trHeight w:val="954"/>
        </w:trPr>
        <w:tc>
          <w:tcPr>
            <w:tcW w:w="5331" w:type="dxa"/>
            <w:vAlign w:val="bottom"/>
          </w:tcPr>
          <w:p w14:paraId="294CEF16" w14:textId="77777777" w:rsidR="00A91B3F" w:rsidRPr="00200036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077CD6E4" w14:textId="77777777" w:rsidR="00AD1AD5" w:rsidRPr="00200036" w:rsidRDefault="00AD1AD5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  <w:lang w:val="ru-RU"/>
              </w:rPr>
            </w:pPr>
          </w:p>
          <w:p w14:paraId="5B4CAFA2" w14:textId="77777777" w:rsidR="00DD60CC" w:rsidRPr="00200036" w:rsidRDefault="00346C90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200036">
              <w:rPr>
                <w:rFonts w:eastAsia="SimSun"/>
              </w:rPr>
              <w:t>Голов</w:t>
            </w:r>
            <w:r w:rsidR="00E84936" w:rsidRPr="00200036">
              <w:rPr>
                <w:rFonts w:eastAsia="SimSun"/>
              </w:rPr>
              <w:t>а</w:t>
            </w:r>
            <w:r w:rsidR="006862A4" w:rsidRPr="00200036">
              <w:rPr>
                <w:rFonts w:eastAsia="SimSun"/>
              </w:rPr>
              <w:t xml:space="preserve"> Національного банку України</w:t>
            </w:r>
          </w:p>
        </w:tc>
        <w:tc>
          <w:tcPr>
            <w:tcW w:w="4170" w:type="dxa"/>
            <w:vAlign w:val="bottom"/>
          </w:tcPr>
          <w:p w14:paraId="27FACCA5" w14:textId="77777777" w:rsidR="00DD60CC" w:rsidRPr="00200036" w:rsidRDefault="001A365D" w:rsidP="001A365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200036">
              <w:rPr>
                <w:rFonts w:eastAsia="SimSun"/>
              </w:rPr>
              <w:t>Андрій ПИШНИЙ</w:t>
            </w:r>
          </w:p>
        </w:tc>
      </w:tr>
    </w:tbl>
    <w:p w14:paraId="47FC0D70" w14:textId="77777777" w:rsidR="000F1B82" w:rsidRPr="00200036" w:rsidRDefault="000F1B82" w:rsidP="00D232AB">
      <w:pPr>
        <w:jc w:val="left"/>
      </w:pPr>
    </w:p>
    <w:sectPr w:rsidR="000F1B82" w:rsidRPr="00200036" w:rsidSect="007625E4">
      <w:headerReference w:type="default" r:id="rId9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480F" w16cex:dateUtc="2021-09-08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194EA" w16cid:durableId="24E348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9AF9" w14:textId="77777777" w:rsidR="000A1198" w:rsidRDefault="000A1198" w:rsidP="00E53CCD">
      <w:r>
        <w:separator/>
      </w:r>
    </w:p>
  </w:endnote>
  <w:endnote w:type="continuationSeparator" w:id="0">
    <w:p w14:paraId="67576674" w14:textId="77777777" w:rsidR="000A1198" w:rsidRDefault="000A1198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FE5" w14:textId="77777777" w:rsidR="000A1198" w:rsidRDefault="000A1198" w:rsidP="00E53CCD">
      <w:r>
        <w:separator/>
      </w:r>
    </w:p>
  </w:footnote>
  <w:footnote w:type="continuationSeparator" w:id="0">
    <w:p w14:paraId="648641ED" w14:textId="77777777" w:rsidR="000A1198" w:rsidRDefault="000A1198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574FE597" w14:textId="5E10A8CC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B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F27B18A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62B"/>
    <w:multiLevelType w:val="hybridMultilevel"/>
    <w:tmpl w:val="9B12A552"/>
    <w:lvl w:ilvl="0" w:tplc="04220011">
      <w:start w:val="1"/>
      <w:numFmt w:val="decimal"/>
      <w:lvlText w:val="%1)"/>
      <w:lvlJc w:val="left"/>
      <w:pPr>
        <w:ind w:left="1406" w:hanging="360"/>
      </w:pPr>
    </w:lvl>
    <w:lvl w:ilvl="1" w:tplc="04220019" w:tentative="1">
      <w:start w:val="1"/>
      <w:numFmt w:val="lowerLetter"/>
      <w:lvlText w:val="%2."/>
      <w:lvlJc w:val="left"/>
      <w:pPr>
        <w:ind w:left="2126" w:hanging="360"/>
      </w:pPr>
    </w:lvl>
    <w:lvl w:ilvl="2" w:tplc="0422001B" w:tentative="1">
      <w:start w:val="1"/>
      <w:numFmt w:val="lowerRoman"/>
      <w:lvlText w:val="%3."/>
      <w:lvlJc w:val="right"/>
      <w:pPr>
        <w:ind w:left="2846" w:hanging="180"/>
      </w:pPr>
    </w:lvl>
    <w:lvl w:ilvl="3" w:tplc="0422000F" w:tentative="1">
      <w:start w:val="1"/>
      <w:numFmt w:val="decimal"/>
      <w:lvlText w:val="%4."/>
      <w:lvlJc w:val="left"/>
      <w:pPr>
        <w:ind w:left="3566" w:hanging="360"/>
      </w:pPr>
    </w:lvl>
    <w:lvl w:ilvl="4" w:tplc="04220019" w:tentative="1">
      <w:start w:val="1"/>
      <w:numFmt w:val="lowerLetter"/>
      <w:lvlText w:val="%5."/>
      <w:lvlJc w:val="left"/>
      <w:pPr>
        <w:ind w:left="4286" w:hanging="360"/>
      </w:pPr>
    </w:lvl>
    <w:lvl w:ilvl="5" w:tplc="0422001B" w:tentative="1">
      <w:start w:val="1"/>
      <w:numFmt w:val="lowerRoman"/>
      <w:lvlText w:val="%6."/>
      <w:lvlJc w:val="right"/>
      <w:pPr>
        <w:ind w:left="5006" w:hanging="180"/>
      </w:pPr>
    </w:lvl>
    <w:lvl w:ilvl="6" w:tplc="0422000F" w:tentative="1">
      <w:start w:val="1"/>
      <w:numFmt w:val="decimal"/>
      <w:lvlText w:val="%7."/>
      <w:lvlJc w:val="left"/>
      <w:pPr>
        <w:ind w:left="5726" w:hanging="360"/>
      </w:pPr>
    </w:lvl>
    <w:lvl w:ilvl="7" w:tplc="04220019" w:tentative="1">
      <w:start w:val="1"/>
      <w:numFmt w:val="lowerLetter"/>
      <w:lvlText w:val="%8."/>
      <w:lvlJc w:val="left"/>
      <w:pPr>
        <w:ind w:left="6446" w:hanging="360"/>
      </w:pPr>
    </w:lvl>
    <w:lvl w:ilvl="8" w:tplc="042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75687"/>
    <w:multiLevelType w:val="hybridMultilevel"/>
    <w:tmpl w:val="621E9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55014FE5"/>
    <w:multiLevelType w:val="hybridMultilevel"/>
    <w:tmpl w:val="7CF07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trackRevisions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DC0"/>
    <w:rsid w:val="00004FC7"/>
    <w:rsid w:val="000064FA"/>
    <w:rsid w:val="000111E6"/>
    <w:rsid w:val="00011790"/>
    <w:rsid w:val="000126E6"/>
    <w:rsid w:val="00015FDE"/>
    <w:rsid w:val="000165E9"/>
    <w:rsid w:val="00021999"/>
    <w:rsid w:val="00031F9C"/>
    <w:rsid w:val="000342A5"/>
    <w:rsid w:val="0003793C"/>
    <w:rsid w:val="00045FBF"/>
    <w:rsid w:val="0004799F"/>
    <w:rsid w:val="000543C6"/>
    <w:rsid w:val="000543E8"/>
    <w:rsid w:val="000562D8"/>
    <w:rsid w:val="00063480"/>
    <w:rsid w:val="00063A13"/>
    <w:rsid w:val="00064352"/>
    <w:rsid w:val="00073FDB"/>
    <w:rsid w:val="00081158"/>
    <w:rsid w:val="00081836"/>
    <w:rsid w:val="00085A49"/>
    <w:rsid w:val="000862BF"/>
    <w:rsid w:val="000908E3"/>
    <w:rsid w:val="000A1198"/>
    <w:rsid w:val="000A22D3"/>
    <w:rsid w:val="000A2CD2"/>
    <w:rsid w:val="000A4677"/>
    <w:rsid w:val="000A47EF"/>
    <w:rsid w:val="000A514B"/>
    <w:rsid w:val="000A6D6B"/>
    <w:rsid w:val="000B0667"/>
    <w:rsid w:val="000B2990"/>
    <w:rsid w:val="000B3DD3"/>
    <w:rsid w:val="000B51B6"/>
    <w:rsid w:val="000C06AF"/>
    <w:rsid w:val="000C1E2A"/>
    <w:rsid w:val="000C242C"/>
    <w:rsid w:val="000C6E31"/>
    <w:rsid w:val="000D738C"/>
    <w:rsid w:val="000F1B82"/>
    <w:rsid w:val="000F6E29"/>
    <w:rsid w:val="00102BEF"/>
    <w:rsid w:val="00107F1D"/>
    <w:rsid w:val="0011163F"/>
    <w:rsid w:val="00112A39"/>
    <w:rsid w:val="00113924"/>
    <w:rsid w:val="00113EC3"/>
    <w:rsid w:val="001178F1"/>
    <w:rsid w:val="00125891"/>
    <w:rsid w:val="00125F04"/>
    <w:rsid w:val="00132796"/>
    <w:rsid w:val="00147E47"/>
    <w:rsid w:val="00155D9D"/>
    <w:rsid w:val="00161663"/>
    <w:rsid w:val="001617E5"/>
    <w:rsid w:val="00161B3C"/>
    <w:rsid w:val="00162565"/>
    <w:rsid w:val="00166FE7"/>
    <w:rsid w:val="00167DE4"/>
    <w:rsid w:val="00172829"/>
    <w:rsid w:val="001740C0"/>
    <w:rsid w:val="001800F4"/>
    <w:rsid w:val="001831B8"/>
    <w:rsid w:val="00190268"/>
    <w:rsid w:val="00190E1A"/>
    <w:rsid w:val="00191348"/>
    <w:rsid w:val="001927BB"/>
    <w:rsid w:val="001930AA"/>
    <w:rsid w:val="001962D0"/>
    <w:rsid w:val="001A16FA"/>
    <w:rsid w:val="001A2B95"/>
    <w:rsid w:val="001A365D"/>
    <w:rsid w:val="001A3C01"/>
    <w:rsid w:val="001A3D6D"/>
    <w:rsid w:val="001A52EC"/>
    <w:rsid w:val="001B4352"/>
    <w:rsid w:val="001B440E"/>
    <w:rsid w:val="001C0556"/>
    <w:rsid w:val="001C1638"/>
    <w:rsid w:val="001C173B"/>
    <w:rsid w:val="001C32B9"/>
    <w:rsid w:val="001D487A"/>
    <w:rsid w:val="001D7B7B"/>
    <w:rsid w:val="001E2B27"/>
    <w:rsid w:val="001F1781"/>
    <w:rsid w:val="001F1CA5"/>
    <w:rsid w:val="001F2FFA"/>
    <w:rsid w:val="001F55BF"/>
    <w:rsid w:val="001F5F44"/>
    <w:rsid w:val="00200036"/>
    <w:rsid w:val="00201F1C"/>
    <w:rsid w:val="002023F4"/>
    <w:rsid w:val="00205961"/>
    <w:rsid w:val="00213F4D"/>
    <w:rsid w:val="0021625D"/>
    <w:rsid w:val="00230F08"/>
    <w:rsid w:val="002366AC"/>
    <w:rsid w:val="002367AB"/>
    <w:rsid w:val="00237FD5"/>
    <w:rsid w:val="00241373"/>
    <w:rsid w:val="002443B5"/>
    <w:rsid w:val="00245407"/>
    <w:rsid w:val="00252E45"/>
    <w:rsid w:val="00253BF9"/>
    <w:rsid w:val="002566B7"/>
    <w:rsid w:val="00261C51"/>
    <w:rsid w:val="00264983"/>
    <w:rsid w:val="00266678"/>
    <w:rsid w:val="002701CF"/>
    <w:rsid w:val="00270B4E"/>
    <w:rsid w:val="002713CC"/>
    <w:rsid w:val="00271FCC"/>
    <w:rsid w:val="00273765"/>
    <w:rsid w:val="00276496"/>
    <w:rsid w:val="00283697"/>
    <w:rsid w:val="00284148"/>
    <w:rsid w:val="002A05A7"/>
    <w:rsid w:val="002A1D02"/>
    <w:rsid w:val="002A6DFB"/>
    <w:rsid w:val="002B11E3"/>
    <w:rsid w:val="002B14B1"/>
    <w:rsid w:val="002B2490"/>
    <w:rsid w:val="002B7694"/>
    <w:rsid w:val="002C0C84"/>
    <w:rsid w:val="002C11CA"/>
    <w:rsid w:val="002C442C"/>
    <w:rsid w:val="002C6E5D"/>
    <w:rsid w:val="002D1790"/>
    <w:rsid w:val="002D5293"/>
    <w:rsid w:val="002D71C2"/>
    <w:rsid w:val="002D7544"/>
    <w:rsid w:val="002D775B"/>
    <w:rsid w:val="002D77F9"/>
    <w:rsid w:val="002F0CC2"/>
    <w:rsid w:val="002F25E2"/>
    <w:rsid w:val="002F372D"/>
    <w:rsid w:val="00304D01"/>
    <w:rsid w:val="003105A0"/>
    <w:rsid w:val="003207FB"/>
    <w:rsid w:val="003260A0"/>
    <w:rsid w:val="00326161"/>
    <w:rsid w:val="00332CCD"/>
    <w:rsid w:val="00332E8C"/>
    <w:rsid w:val="003343CC"/>
    <w:rsid w:val="00334B69"/>
    <w:rsid w:val="0034344E"/>
    <w:rsid w:val="00346C90"/>
    <w:rsid w:val="00347D6F"/>
    <w:rsid w:val="00351A4F"/>
    <w:rsid w:val="00356E34"/>
    <w:rsid w:val="00357676"/>
    <w:rsid w:val="00357FBC"/>
    <w:rsid w:val="00366989"/>
    <w:rsid w:val="003679F5"/>
    <w:rsid w:val="00370B27"/>
    <w:rsid w:val="00377A50"/>
    <w:rsid w:val="0038385E"/>
    <w:rsid w:val="003877C3"/>
    <w:rsid w:val="00393C81"/>
    <w:rsid w:val="0039725C"/>
    <w:rsid w:val="0039737B"/>
    <w:rsid w:val="00397399"/>
    <w:rsid w:val="003A5C6C"/>
    <w:rsid w:val="003A751F"/>
    <w:rsid w:val="003C12BE"/>
    <w:rsid w:val="003C12FE"/>
    <w:rsid w:val="003C3282"/>
    <w:rsid w:val="003C3985"/>
    <w:rsid w:val="003D24A2"/>
    <w:rsid w:val="003E7FC3"/>
    <w:rsid w:val="003F1CC3"/>
    <w:rsid w:val="00401EDB"/>
    <w:rsid w:val="00404C93"/>
    <w:rsid w:val="0040690F"/>
    <w:rsid w:val="00407877"/>
    <w:rsid w:val="0041305F"/>
    <w:rsid w:val="0041530A"/>
    <w:rsid w:val="00420DCD"/>
    <w:rsid w:val="004266D9"/>
    <w:rsid w:val="00426DBF"/>
    <w:rsid w:val="004303C2"/>
    <w:rsid w:val="0043384B"/>
    <w:rsid w:val="0044161A"/>
    <w:rsid w:val="00446D20"/>
    <w:rsid w:val="0045062E"/>
    <w:rsid w:val="004541DA"/>
    <w:rsid w:val="00455B45"/>
    <w:rsid w:val="00465BA9"/>
    <w:rsid w:val="00473763"/>
    <w:rsid w:val="00474644"/>
    <w:rsid w:val="004775BC"/>
    <w:rsid w:val="00481EB2"/>
    <w:rsid w:val="00484D27"/>
    <w:rsid w:val="00490937"/>
    <w:rsid w:val="004969B2"/>
    <w:rsid w:val="00497F7C"/>
    <w:rsid w:val="004A23F5"/>
    <w:rsid w:val="004A26EF"/>
    <w:rsid w:val="004A62FE"/>
    <w:rsid w:val="004A7F75"/>
    <w:rsid w:val="004B068F"/>
    <w:rsid w:val="004B1FE9"/>
    <w:rsid w:val="004B3013"/>
    <w:rsid w:val="004C0D46"/>
    <w:rsid w:val="004C129C"/>
    <w:rsid w:val="004C37D1"/>
    <w:rsid w:val="004C6208"/>
    <w:rsid w:val="004C7EE6"/>
    <w:rsid w:val="004D1212"/>
    <w:rsid w:val="004D45B8"/>
    <w:rsid w:val="004E1C7D"/>
    <w:rsid w:val="004E1DF9"/>
    <w:rsid w:val="004E2115"/>
    <w:rsid w:val="004E22E2"/>
    <w:rsid w:val="004E3FBC"/>
    <w:rsid w:val="004E5BCA"/>
    <w:rsid w:val="004E76D0"/>
    <w:rsid w:val="004E7F61"/>
    <w:rsid w:val="004F53ED"/>
    <w:rsid w:val="004F6155"/>
    <w:rsid w:val="005072EA"/>
    <w:rsid w:val="00512761"/>
    <w:rsid w:val="0051285D"/>
    <w:rsid w:val="00513471"/>
    <w:rsid w:val="00521CB7"/>
    <w:rsid w:val="00523C13"/>
    <w:rsid w:val="00524392"/>
    <w:rsid w:val="005257C2"/>
    <w:rsid w:val="005315C7"/>
    <w:rsid w:val="00531DD6"/>
    <w:rsid w:val="005345B5"/>
    <w:rsid w:val="005348CA"/>
    <w:rsid w:val="00537905"/>
    <w:rsid w:val="005422B1"/>
    <w:rsid w:val="00542533"/>
    <w:rsid w:val="005426F5"/>
    <w:rsid w:val="005438AA"/>
    <w:rsid w:val="00546DA0"/>
    <w:rsid w:val="00552810"/>
    <w:rsid w:val="00557A4D"/>
    <w:rsid w:val="00557EB6"/>
    <w:rsid w:val="00557ECA"/>
    <w:rsid w:val="005624B6"/>
    <w:rsid w:val="00563F40"/>
    <w:rsid w:val="005646AE"/>
    <w:rsid w:val="005702AD"/>
    <w:rsid w:val="005717E0"/>
    <w:rsid w:val="0057237F"/>
    <w:rsid w:val="00572433"/>
    <w:rsid w:val="00572CC6"/>
    <w:rsid w:val="00573DEB"/>
    <w:rsid w:val="005755EF"/>
    <w:rsid w:val="00577402"/>
    <w:rsid w:val="0058123D"/>
    <w:rsid w:val="00584980"/>
    <w:rsid w:val="00584CF5"/>
    <w:rsid w:val="005865B3"/>
    <w:rsid w:val="005878E8"/>
    <w:rsid w:val="00593579"/>
    <w:rsid w:val="00594175"/>
    <w:rsid w:val="005966D9"/>
    <w:rsid w:val="00596E31"/>
    <w:rsid w:val="00597D4B"/>
    <w:rsid w:val="005A0F4B"/>
    <w:rsid w:val="005A1D3C"/>
    <w:rsid w:val="005A3371"/>
    <w:rsid w:val="005A3F0D"/>
    <w:rsid w:val="005A3F34"/>
    <w:rsid w:val="005B2D03"/>
    <w:rsid w:val="005B43F2"/>
    <w:rsid w:val="005B64E5"/>
    <w:rsid w:val="005B7C23"/>
    <w:rsid w:val="005C1CD4"/>
    <w:rsid w:val="005C5C10"/>
    <w:rsid w:val="005C5CBF"/>
    <w:rsid w:val="005C659A"/>
    <w:rsid w:val="005D3397"/>
    <w:rsid w:val="005D3EF4"/>
    <w:rsid w:val="005D7770"/>
    <w:rsid w:val="005E1D71"/>
    <w:rsid w:val="005E2325"/>
    <w:rsid w:val="005E3FA8"/>
    <w:rsid w:val="005F3B05"/>
    <w:rsid w:val="006104CA"/>
    <w:rsid w:val="0061596E"/>
    <w:rsid w:val="00621644"/>
    <w:rsid w:val="00635332"/>
    <w:rsid w:val="00637010"/>
    <w:rsid w:val="00640612"/>
    <w:rsid w:val="0064227D"/>
    <w:rsid w:val="0064493C"/>
    <w:rsid w:val="00645A34"/>
    <w:rsid w:val="00655F4A"/>
    <w:rsid w:val="00655FE9"/>
    <w:rsid w:val="00656E13"/>
    <w:rsid w:val="00666367"/>
    <w:rsid w:val="00670C95"/>
    <w:rsid w:val="00675421"/>
    <w:rsid w:val="00680D32"/>
    <w:rsid w:val="00684D7F"/>
    <w:rsid w:val="006862A4"/>
    <w:rsid w:val="006867CA"/>
    <w:rsid w:val="006925CE"/>
    <w:rsid w:val="006A766D"/>
    <w:rsid w:val="006B190D"/>
    <w:rsid w:val="006B2748"/>
    <w:rsid w:val="006B3675"/>
    <w:rsid w:val="006B3C1C"/>
    <w:rsid w:val="006B4D7D"/>
    <w:rsid w:val="006B57CC"/>
    <w:rsid w:val="006C4176"/>
    <w:rsid w:val="006C66EF"/>
    <w:rsid w:val="006D2617"/>
    <w:rsid w:val="006D4272"/>
    <w:rsid w:val="006D76DC"/>
    <w:rsid w:val="006E196B"/>
    <w:rsid w:val="006F35A9"/>
    <w:rsid w:val="006F5855"/>
    <w:rsid w:val="0070083C"/>
    <w:rsid w:val="00702CEC"/>
    <w:rsid w:val="007045D7"/>
    <w:rsid w:val="00711681"/>
    <w:rsid w:val="00711F3D"/>
    <w:rsid w:val="00713BA9"/>
    <w:rsid w:val="00715770"/>
    <w:rsid w:val="0071789F"/>
    <w:rsid w:val="00717A33"/>
    <w:rsid w:val="00717B97"/>
    <w:rsid w:val="00724CAD"/>
    <w:rsid w:val="00730379"/>
    <w:rsid w:val="007314D7"/>
    <w:rsid w:val="0073630F"/>
    <w:rsid w:val="007576F6"/>
    <w:rsid w:val="0076037E"/>
    <w:rsid w:val="0076123D"/>
    <w:rsid w:val="007625E4"/>
    <w:rsid w:val="00767B9D"/>
    <w:rsid w:val="007764A7"/>
    <w:rsid w:val="0078127A"/>
    <w:rsid w:val="00783AF2"/>
    <w:rsid w:val="0078475F"/>
    <w:rsid w:val="00793DA6"/>
    <w:rsid w:val="007A05B1"/>
    <w:rsid w:val="007A4B84"/>
    <w:rsid w:val="007A6609"/>
    <w:rsid w:val="007A7BDF"/>
    <w:rsid w:val="007B167D"/>
    <w:rsid w:val="007B2588"/>
    <w:rsid w:val="007B63E8"/>
    <w:rsid w:val="007C2CED"/>
    <w:rsid w:val="007D140B"/>
    <w:rsid w:val="007D278D"/>
    <w:rsid w:val="007D3575"/>
    <w:rsid w:val="007D580F"/>
    <w:rsid w:val="007E2F3D"/>
    <w:rsid w:val="007E6789"/>
    <w:rsid w:val="007F0338"/>
    <w:rsid w:val="007F42E0"/>
    <w:rsid w:val="007F54B6"/>
    <w:rsid w:val="007F6382"/>
    <w:rsid w:val="008005CA"/>
    <w:rsid w:val="008020A2"/>
    <w:rsid w:val="00802988"/>
    <w:rsid w:val="008036FF"/>
    <w:rsid w:val="0080486D"/>
    <w:rsid w:val="00807BDE"/>
    <w:rsid w:val="00811741"/>
    <w:rsid w:val="008160BB"/>
    <w:rsid w:val="00827868"/>
    <w:rsid w:val="008303CA"/>
    <w:rsid w:val="00830DBE"/>
    <w:rsid w:val="00834E7A"/>
    <w:rsid w:val="00840CFB"/>
    <w:rsid w:val="0085533D"/>
    <w:rsid w:val="00860E40"/>
    <w:rsid w:val="00866993"/>
    <w:rsid w:val="008709B5"/>
    <w:rsid w:val="00872004"/>
    <w:rsid w:val="008728BB"/>
    <w:rsid w:val="00874366"/>
    <w:rsid w:val="008752BE"/>
    <w:rsid w:val="008762D8"/>
    <w:rsid w:val="00876634"/>
    <w:rsid w:val="00881F95"/>
    <w:rsid w:val="00883194"/>
    <w:rsid w:val="00883B79"/>
    <w:rsid w:val="0088735B"/>
    <w:rsid w:val="0089055B"/>
    <w:rsid w:val="00891FC0"/>
    <w:rsid w:val="00893AB6"/>
    <w:rsid w:val="008B263D"/>
    <w:rsid w:val="008B4891"/>
    <w:rsid w:val="008B492C"/>
    <w:rsid w:val="008B5F2F"/>
    <w:rsid w:val="008B6633"/>
    <w:rsid w:val="008C78ED"/>
    <w:rsid w:val="008D0301"/>
    <w:rsid w:val="008D10FD"/>
    <w:rsid w:val="008D122F"/>
    <w:rsid w:val="008D16BD"/>
    <w:rsid w:val="008E5AD3"/>
    <w:rsid w:val="008E7995"/>
    <w:rsid w:val="008F0210"/>
    <w:rsid w:val="008F5D52"/>
    <w:rsid w:val="008F7B7A"/>
    <w:rsid w:val="00903338"/>
    <w:rsid w:val="00904F17"/>
    <w:rsid w:val="00922966"/>
    <w:rsid w:val="009238B9"/>
    <w:rsid w:val="009304A9"/>
    <w:rsid w:val="00931F70"/>
    <w:rsid w:val="00934D77"/>
    <w:rsid w:val="00937AE3"/>
    <w:rsid w:val="009401D4"/>
    <w:rsid w:val="00943175"/>
    <w:rsid w:val="0094698C"/>
    <w:rsid w:val="00947786"/>
    <w:rsid w:val="00950B7E"/>
    <w:rsid w:val="00951171"/>
    <w:rsid w:val="00960AE8"/>
    <w:rsid w:val="00962333"/>
    <w:rsid w:val="0097288F"/>
    <w:rsid w:val="0098207E"/>
    <w:rsid w:val="00995E11"/>
    <w:rsid w:val="009A1CFF"/>
    <w:rsid w:val="009A1FD9"/>
    <w:rsid w:val="009A5936"/>
    <w:rsid w:val="009A7054"/>
    <w:rsid w:val="009A7793"/>
    <w:rsid w:val="009B6120"/>
    <w:rsid w:val="009C2F76"/>
    <w:rsid w:val="009C3CB9"/>
    <w:rsid w:val="009C6FC7"/>
    <w:rsid w:val="009D531C"/>
    <w:rsid w:val="009D6050"/>
    <w:rsid w:val="009E4D3B"/>
    <w:rsid w:val="009E72C1"/>
    <w:rsid w:val="009F07D2"/>
    <w:rsid w:val="009F0A4E"/>
    <w:rsid w:val="009F242A"/>
    <w:rsid w:val="009F2A69"/>
    <w:rsid w:val="009F2C2E"/>
    <w:rsid w:val="009F3962"/>
    <w:rsid w:val="009F3E1D"/>
    <w:rsid w:val="009F5312"/>
    <w:rsid w:val="00A0594A"/>
    <w:rsid w:val="00A074A5"/>
    <w:rsid w:val="00A079D4"/>
    <w:rsid w:val="00A12C47"/>
    <w:rsid w:val="00A16E83"/>
    <w:rsid w:val="00A2190A"/>
    <w:rsid w:val="00A2398B"/>
    <w:rsid w:val="00A23E04"/>
    <w:rsid w:val="00A25A1A"/>
    <w:rsid w:val="00A36330"/>
    <w:rsid w:val="00A43598"/>
    <w:rsid w:val="00A457E7"/>
    <w:rsid w:val="00A501D1"/>
    <w:rsid w:val="00A50DC0"/>
    <w:rsid w:val="00A526C7"/>
    <w:rsid w:val="00A6032D"/>
    <w:rsid w:val="00A643A4"/>
    <w:rsid w:val="00A64578"/>
    <w:rsid w:val="00A717FE"/>
    <w:rsid w:val="00A72BDF"/>
    <w:rsid w:val="00A72F06"/>
    <w:rsid w:val="00A730F2"/>
    <w:rsid w:val="00A74E42"/>
    <w:rsid w:val="00A775A0"/>
    <w:rsid w:val="00A77FFD"/>
    <w:rsid w:val="00A84B39"/>
    <w:rsid w:val="00A85102"/>
    <w:rsid w:val="00A85D8D"/>
    <w:rsid w:val="00A86131"/>
    <w:rsid w:val="00A8617B"/>
    <w:rsid w:val="00A91B3F"/>
    <w:rsid w:val="00A95B59"/>
    <w:rsid w:val="00A9623F"/>
    <w:rsid w:val="00AA06CC"/>
    <w:rsid w:val="00AA4696"/>
    <w:rsid w:val="00AB174F"/>
    <w:rsid w:val="00AB4554"/>
    <w:rsid w:val="00AC200A"/>
    <w:rsid w:val="00AC47B6"/>
    <w:rsid w:val="00AD1AD5"/>
    <w:rsid w:val="00AD28DC"/>
    <w:rsid w:val="00AE1D26"/>
    <w:rsid w:val="00AE2CAF"/>
    <w:rsid w:val="00AE7134"/>
    <w:rsid w:val="00AF3FF7"/>
    <w:rsid w:val="00AF441A"/>
    <w:rsid w:val="00AF5000"/>
    <w:rsid w:val="00B04DB6"/>
    <w:rsid w:val="00B07C1E"/>
    <w:rsid w:val="00B15811"/>
    <w:rsid w:val="00B22FF9"/>
    <w:rsid w:val="00B313D0"/>
    <w:rsid w:val="00B332B2"/>
    <w:rsid w:val="00B35399"/>
    <w:rsid w:val="00B36EC7"/>
    <w:rsid w:val="00B52383"/>
    <w:rsid w:val="00B5684F"/>
    <w:rsid w:val="00B65267"/>
    <w:rsid w:val="00B664EC"/>
    <w:rsid w:val="00B75584"/>
    <w:rsid w:val="00B75FC3"/>
    <w:rsid w:val="00B8078D"/>
    <w:rsid w:val="00B8258B"/>
    <w:rsid w:val="00B855F1"/>
    <w:rsid w:val="00B91EE0"/>
    <w:rsid w:val="00B97D94"/>
    <w:rsid w:val="00BA0767"/>
    <w:rsid w:val="00BB55D4"/>
    <w:rsid w:val="00BB6642"/>
    <w:rsid w:val="00BB6A8C"/>
    <w:rsid w:val="00BC001D"/>
    <w:rsid w:val="00BC21AE"/>
    <w:rsid w:val="00BC402D"/>
    <w:rsid w:val="00BE32D5"/>
    <w:rsid w:val="00BF32E8"/>
    <w:rsid w:val="00BF6991"/>
    <w:rsid w:val="00BF7DDD"/>
    <w:rsid w:val="00C01329"/>
    <w:rsid w:val="00C03593"/>
    <w:rsid w:val="00C1756D"/>
    <w:rsid w:val="00C21D33"/>
    <w:rsid w:val="00C23208"/>
    <w:rsid w:val="00C23A00"/>
    <w:rsid w:val="00C2709F"/>
    <w:rsid w:val="00C4377C"/>
    <w:rsid w:val="00C47F0F"/>
    <w:rsid w:val="00C6622B"/>
    <w:rsid w:val="00C67A22"/>
    <w:rsid w:val="00C720EA"/>
    <w:rsid w:val="00C746EA"/>
    <w:rsid w:val="00C74859"/>
    <w:rsid w:val="00C75865"/>
    <w:rsid w:val="00C76DC0"/>
    <w:rsid w:val="00C82259"/>
    <w:rsid w:val="00C84BBD"/>
    <w:rsid w:val="00C8639B"/>
    <w:rsid w:val="00C87C22"/>
    <w:rsid w:val="00C951D6"/>
    <w:rsid w:val="00CA187D"/>
    <w:rsid w:val="00CA3442"/>
    <w:rsid w:val="00CA54D9"/>
    <w:rsid w:val="00CB0A99"/>
    <w:rsid w:val="00CB3965"/>
    <w:rsid w:val="00CB4B88"/>
    <w:rsid w:val="00CB7B18"/>
    <w:rsid w:val="00CB7BC0"/>
    <w:rsid w:val="00CB7ED3"/>
    <w:rsid w:val="00CC303D"/>
    <w:rsid w:val="00CD36AF"/>
    <w:rsid w:val="00CD445B"/>
    <w:rsid w:val="00CD7842"/>
    <w:rsid w:val="00CE00F3"/>
    <w:rsid w:val="00CE13E8"/>
    <w:rsid w:val="00CE3B9F"/>
    <w:rsid w:val="00CE5168"/>
    <w:rsid w:val="00CE6FCF"/>
    <w:rsid w:val="00CF17E0"/>
    <w:rsid w:val="00CF6608"/>
    <w:rsid w:val="00D06522"/>
    <w:rsid w:val="00D07F77"/>
    <w:rsid w:val="00D11CCA"/>
    <w:rsid w:val="00D20BF5"/>
    <w:rsid w:val="00D232AB"/>
    <w:rsid w:val="00D26209"/>
    <w:rsid w:val="00D338E1"/>
    <w:rsid w:val="00D34DCC"/>
    <w:rsid w:val="00D41202"/>
    <w:rsid w:val="00D4657A"/>
    <w:rsid w:val="00D54BFD"/>
    <w:rsid w:val="00D63127"/>
    <w:rsid w:val="00D65EC7"/>
    <w:rsid w:val="00D75B25"/>
    <w:rsid w:val="00D76AC1"/>
    <w:rsid w:val="00D77B77"/>
    <w:rsid w:val="00D841A0"/>
    <w:rsid w:val="00D86D5F"/>
    <w:rsid w:val="00D9134F"/>
    <w:rsid w:val="00D9195A"/>
    <w:rsid w:val="00D91E39"/>
    <w:rsid w:val="00D93BC2"/>
    <w:rsid w:val="00D97DAD"/>
    <w:rsid w:val="00DA049B"/>
    <w:rsid w:val="00DA1FAF"/>
    <w:rsid w:val="00DA273B"/>
    <w:rsid w:val="00DA6F8B"/>
    <w:rsid w:val="00DC1E60"/>
    <w:rsid w:val="00DC28E7"/>
    <w:rsid w:val="00DC6E91"/>
    <w:rsid w:val="00DD31AE"/>
    <w:rsid w:val="00DD3265"/>
    <w:rsid w:val="00DD451D"/>
    <w:rsid w:val="00DD60CC"/>
    <w:rsid w:val="00DE3FA7"/>
    <w:rsid w:val="00DE59DA"/>
    <w:rsid w:val="00DF0636"/>
    <w:rsid w:val="00DF13F9"/>
    <w:rsid w:val="00DF1CF6"/>
    <w:rsid w:val="00DF70B9"/>
    <w:rsid w:val="00E01688"/>
    <w:rsid w:val="00E057D1"/>
    <w:rsid w:val="00E07027"/>
    <w:rsid w:val="00E11C93"/>
    <w:rsid w:val="00E121EA"/>
    <w:rsid w:val="00E14419"/>
    <w:rsid w:val="00E166C3"/>
    <w:rsid w:val="00E22DC6"/>
    <w:rsid w:val="00E22ECA"/>
    <w:rsid w:val="00E24944"/>
    <w:rsid w:val="00E25374"/>
    <w:rsid w:val="00E27437"/>
    <w:rsid w:val="00E32CE3"/>
    <w:rsid w:val="00E33B0E"/>
    <w:rsid w:val="00E378D1"/>
    <w:rsid w:val="00E411C2"/>
    <w:rsid w:val="00E44425"/>
    <w:rsid w:val="00E466F4"/>
    <w:rsid w:val="00E4688E"/>
    <w:rsid w:val="00E523B2"/>
    <w:rsid w:val="00E531F6"/>
    <w:rsid w:val="00E53CB5"/>
    <w:rsid w:val="00E53CCD"/>
    <w:rsid w:val="00E5600E"/>
    <w:rsid w:val="00E56258"/>
    <w:rsid w:val="00E56566"/>
    <w:rsid w:val="00E70660"/>
    <w:rsid w:val="00E71855"/>
    <w:rsid w:val="00E719A9"/>
    <w:rsid w:val="00E738EB"/>
    <w:rsid w:val="00E82F1E"/>
    <w:rsid w:val="00E84936"/>
    <w:rsid w:val="00E85551"/>
    <w:rsid w:val="00E85B84"/>
    <w:rsid w:val="00E9430C"/>
    <w:rsid w:val="00EA1DE4"/>
    <w:rsid w:val="00EA60EA"/>
    <w:rsid w:val="00EA66E9"/>
    <w:rsid w:val="00EB2008"/>
    <w:rsid w:val="00EB29BF"/>
    <w:rsid w:val="00EB5CD3"/>
    <w:rsid w:val="00EB6724"/>
    <w:rsid w:val="00EC2939"/>
    <w:rsid w:val="00EC40C3"/>
    <w:rsid w:val="00ED0D95"/>
    <w:rsid w:val="00ED31E8"/>
    <w:rsid w:val="00ED3C69"/>
    <w:rsid w:val="00EE3193"/>
    <w:rsid w:val="00EF531F"/>
    <w:rsid w:val="00EF79E6"/>
    <w:rsid w:val="00F003D3"/>
    <w:rsid w:val="00F01C67"/>
    <w:rsid w:val="00F02422"/>
    <w:rsid w:val="00F03E32"/>
    <w:rsid w:val="00F04A39"/>
    <w:rsid w:val="00F10DCF"/>
    <w:rsid w:val="00F116DB"/>
    <w:rsid w:val="00F13023"/>
    <w:rsid w:val="00F24E4E"/>
    <w:rsid w:val="00F301D2"/>
    <w:rsid w:val="00F35BD3"/>
    <w:rsid w:val="00F3736E"/>
    <w:rsid w:val="00F377ED"/>
    <w:rsid w:val="00F40B60"/>
    <w:rsid w:val="00F42B58"/>
    <w:rsid w:val="00F42E75"/>
    <w:rsid w:val="00F517FA"/>
    <w:rsid w:val="00F52D16"/>
    <w:rsid w:val="00F618D5"/>
    <w:rsid w:val="00F63BD9"/>
    <w:rsid w:val="00F6694C"/>
    <w:rsid w:val="00F8145F"/>
    <w:rsid w:val="00F81AB7"/>
    <w:rsid w:val="00F9190A"/>
    <w:rsid w:val="00F96F18"/>
    <w:rsid w:val="00F9769C"/>
    <w:rsid w:val="00FA248E"/>
    <w:rsid w:val="00FA4FD8"/>
    <w:rsid w:val="00FA6374"/>
    <w:rsid w:val="00FB1A6E"/>
    <w:rsid w:val="00FB7891"/>
    <w:rsid w:val="00FC04FF"/>
    <w:rsid w:val="00FC3372"/>
    <w:rsid w:val="00FD7E72"/>
    <w:rsid w:val="00FE0D7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D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F55BF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unhideWhenUsed/>
    <w:qFormat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qFormat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qFormat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55BF"/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2FEE06-C57E-4236-9C3C-90872AC3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9741</Words>
  <Characters>5553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2023-11-03T07:58:00Z</dcterms:created>
  <dcterms:modified xsi:type="dcterms:W3CDTF">2023-11-03T08:04:00Z</dcterms:modified>
</cp:coreProperties>
</file>