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613A4" w14:textId="77777777" w:rsidR="00FF5C20" w:rsidRPr="00CC2883" w:rsidRDefault="0023702F">
      <w:pPr>
        <w:jc w:val="right"/>
        <w:rPr>
          <w:color w:val="FFFFFF" w:themeColor="background1"/>
          <w:sz w:val="24"/>
          <w:szCs w:val="24"/>
        </w:rPr>
      </w:pPr>
      <w:bookmarkStart w:id="0" w:name="_GoBack"/>
      <w:bookmarkEnd w:id="0"/>
      <w:r w:rsidRPr="00CC2883">
        <w:rPr>
          <w:color w:val="FFFFFF" w:themeColor="background1"/>
          <w:sz w:val="24"/>
          <w:szCs w:val="24"/>
        </w:rPr>
        <w:t>Оприлюднено хх.хх.2022</w:t>
      </w:r>
    </w:p>
    <w:tbl>
      <w:tblPr>
        <w:tblStyle w:val="1"/>
        <w:tblW w:w="9638" w:type="dxa"/>
        <w:tblLook w:val="04A0" w:firstRow="1" w:lastRow="0" w:firstColumn="1" w:lastColumn="0" w:noHBand="0" w:noVBand="1"/>
      </w:tblPr>
      <w:tblGrid>
        <w:gridCol w:w="3208"/>
        <w:gridCol w:w="215"/>
        <w:gridCol w:w="2643"/>
        <w:gridCol w:w="366"/>
        <w:gridCol w:w="1312"/>
        <w:gridCol w:w="1894"/>
      </w:tblGrid>
      <w:tr w:rsidR="00FF5C20" w:rsidRPr="00CC2883" w14:paraId="2115828E" w14:textId="77777777">
        <w:trPr>
          <w:trHeight w:val="851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C5FCF" w14:textId="77777777" w:rsidR="00FF5C20" w:rsidRPr="00CC2883" w:rsidRDefault="00FF5C20">
            <w:pPr>
              <w:ind w:firstLine="0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44AF5" w14:textId="77777777" w:rsidR="00FF5C20" w:rsidRPr="00CC2883" w:rsidRDefault="0023702F">
            <w:pPr>
              <w:ind w:firstLine="0"/>
              <w:jc w:val="center"/>
              <w:rPr>
                <w:rFonts w:asciiTheme="minorHAnsi" w:hAnsiTheme="minorHAnsi" w:cstheme="minorBidi"/>
                <w:szCs w:val="22"/>
              </w:rPr>
            </w:pPr>
            <w:r w:rsidRPr="00CC2883">
              <w:rPr>
                <w:rFonts w:ascii="Calibri" w:hAnsi="Calibri" w:cstheme="minorBidi"/>
                <w:szCs w:val="22"/>
              </w:rPr>
              <w:object w:dxaOrig="2125" w:dyaOrig="2934" w14:anchorId="45A02125">
                <v:shape id="ole_rId2" o:spid="_x0000_i1025" style="width:33pt;height:47.4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CorelDraw.Graphic.16" ShapeID="ole_rId2" DrawAspect="Content" ObjectID="_1701851774" r:id="rId13"/>
              </w:objec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C9323" w14:textId="77777777" w:rsidR="00FF5C20" w:rsidRPr="00CC2883" w:rsidRDefault="00FF5C20">
            <w:pPr>
              <w:ind w:firstLine="0"/>
              <w:rPr>
                <w:rFonts w:asciiTheme="minorHAnsi" w:hAnsiTheme="minorHAnsi" w:cstheme="minorBidi"/>
                <w:szCs w:val="22"/>
              </w:rPr>
            </w:pPr>
          </w:p>
        </w:tc>
      </w:tr>
      <w:tr w:rsidR="00FF5C20" w:rsidRPr="00CC2883" w14:paraId="5B153A63" w14:textId="77777777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E3716" w14:textId="77777777" w:rsidR="00FF5C20" w:rsidRPr="00CC2883" w:rsidRDefault="00FF5C20">
            <w:pPr>
              <w:ind w:firstLine="0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414FE" w14:textId="77777777" w:rsidR="00FF5C20" w:rsidRPr="00CC2883" w:rsidRDefault="00FF5C20">
            <w:pPr>
              <w:ind w:firstLine="0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6317D" w14:textId="77777777" w:rsidR="00FF5C20" w:rsidRPr="00CC2883" w:rsidRDefault="00FF5C20">
            <w:pPr>
              <w:ind w:firstLine="0"/>
              <w:rPr>
                <w:rFonts w:asciiTheme="minorHAnsi" w:hAnsiTheme="minorHAnsi" w:cstheme="minorBidi"/>
                <w:szCs w:val="22"/>
              </w:rPr>
            </w:pPr>
          </w:p>
        </w:tc>
      </w:tr>
      <w:tr w:rsidR="00FF5C20" w:rsidRPr="00CC2883" w14:paraId="72837AFA" w14:textId="77777777"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DC7B9" w14:textId="77777777" w:rsidR="00FF5C20" w:rsidRPr="00CC2883" w:rsidRDefault="0023702F">
            <w:pPr>
              <w:tabs>
                <w:tab w:val="left" w:pos="-3600"/>
              </w:tabs>
              <w:spacing w:before="120" w:after="120"/>
              <w:ind w:firstLine="0"/>
              <w:jc w:val="center"/>
              <w:rPr>
                <w:b/>
                <w:bCs/>
                <w:color w:val="006600"/>
                <w:spacing w:val="10"/>
              </w:rPr>
            </w:pPr>
            <w:r w:rsidRPr="00CC2883">
              <w:rPr>
                <w:b/>
                <w:bCs/>
                <w:color w:val="006600"/>
                <w:spacing w:val="10"/>
                <w:szCs w:val="22"/>
              </w:rPr>
              <w:t>Правління Національного банку України</w:t>
            </w:r>
          </w:p>
          <w:p w14:paraId="0693E34B" w14:textId="77777777" w:rsidR="00FF5C20" w:rsidRPr="00CC2883" w:rsidRDefault="0023702F">
            <w:pPr>
              <w:ind w:firstLine="0"/>
              <w:jc w:val="center"/>
              <w:rPr>
                <w:szCs w:val="22"/>
              </w:rPr>
            </w:pPr>
            <w:r w:rsidRPr="00CC2883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  <w:tr w:rsidR="00FF5C20" w:rsidRPr="00CC2883" w14:paraId="0BE8122D" w14:textId="77777777"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1B4A5" w14:textId="77777777" w:rsidR="00FF5C20" w:rsidRPr="00CC2883" w:rsidRDefault="00FF5C20">
            <w:pPr>
              <w:ind w:firstLine="0"/>
              <w:rPr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BE01A" w14:textId="77777777" w:rsidR="00FF5C20" w:rsidRPr="00CC2883" w:rsidRDefault="0023702F">
            <w:pPr>
              <w:spacing w:before="240"/>
              <w:ind w:firstLine="0"/>
              <w:jc w:val="center"/>
              <w:rPr>
                <w:szCs w:val="22"/>
              </w:rPr>
            </w:pPr>
            <w:r w:rsidRPr="00CC2883">
              <w:rPr>
                <w:color w:val="006600"/>
                <w:szCs w:val="22"/>
              </w:rPr>
              <w:t>Київ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12E32" w14:textId="77777777" w:rsidR="00FF5C20" w:rsidRPr="00CC2883" w:rsidRDefault="0023702F">
            <w:pPr>
              <w:ind w:firstLine="0"/>
              <w:jc w:val="right"/>
              <w:rPr>
                <w:szCs w:val="22"/>
              </w:rPr>
            </w:pPr>
            <w:r w:rsidRPr="00CC2883">
              <w:rPr>
                <w:rFonts w:ascii="Calibri" w:hAnsi="Calibri" w:cstheme="minorBidi"/>
                <w:color w:val="FFFFFF" w:themeColor="background1"/>
                <w:szCs w:val="22"/>
              </w:rPr>
              <w:t>№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60B9B" w14:textId="77777777" w:rsidR="00FF5C20" w:rsidRPr="00CC2883" w:rsidRDefault="00FF5C20">
            <w:pPr>
              <w:ind w:firstLine="0"/>
              <w:jc w:val="left"/>
              <w:rPr>
                <w:rFonts w:asciiTheme="minorHAnsi" w:hAnsiTheme="minorHAnsi" w:cstheme="minorBidi"/>
                <w:szCs w:val="22"/>
              </w:rPr>
            </w:pPr>
          </w:p>
        </w:tc>
      </w:tr>
    </w:tbl>
    <w:p w14:paraId="610E0C28" w14:textId="77777777" w:rsidR="00FF5C20" w:rsidRPr="00CC2883" w:rsidRDefault="00FF5C20">
      <w:pPr>
        <w:ind w:firstLine="0"/>
        <w:jc w:val="center"/>
        <w:rPr>
          <w:color w:val="000000"/>
          <w:lang w:eastAsia="en-US"/>
        </w:rPr>
      </w:pPr>
    </w:p>
    <w:tbl>
      <w:tblPr>
        <w:tblW w:w="4300" w:type="pct"/>
        <w:jc w:val="center"/>
        <w:tblLook w:val="04A0" w:firstRow="1" w:lastRow="0" w:firstColumn="1" w:lastColumn="0" w:noHBand="0" w:noVBand="1"/>
      </w:tblPr>
      <w:tblGrid>
        <w:gridCol w:w="8289"/>
      </w:tblGrid>
      <w:tr w:rsidR="00FF5C20" w:rsidRPr="00CC2883" w14:paraId="461D38B5" w14:textId="77777777">
        <w:trPr>
          <w:trHeight w:val="1701"/>
          <w:jc w:val="center"/>
        </w:trPr>
        <w:tc>
          <w:tcPr>
            <w:tcW w:w="8288" w:type="dxa"/>
            <w:shd w:val="clear" w:color="auto" w:fill="auto"/>
          </w:tcPr>
          <w:p w14:paraId="72F54321" w14:textId="42E429B5" w:rsidR="00FF5C20" w:rsidRPr="00CC2883" w:rsidRDefault="0023702F">
            <w:pPr>
              <w:spacing w:before="240" w:after="240"/>
              <w:ind w:firstLine="0"/>
              <w:jc w:val="center"/>
            </w:pPr>
            <w:r w:rsidRPr="00CC2883">
              <w:rPr>
                <w:rFonts w:eastAsia="Calibri"/>
                <w:color w:val="000000" w:themeColor="text1"/>
              </w:rPr>
              <w:t>Про затвердження Положення про обов’язкові економічні нормативи та інші вимоги, що обмежують ризики за операціями з фінансовими активами небанківських фінансових установ, які  мають право надавати фінансові</w:t>
            </w:r>
            <w:bookmarkStart w:id="1" w:name="__DdeLink__98831_3378908910"/>
            <w:r w:rsidRPr="00CC2883">
              <w:rPr>
                <w:rFonts w:eastAsia="Calibri"/>
                <w:color w:val="000000" w:themeColor="text1"/>
              </w:rPr>
              <w:t xml:space="preserve"> послуги з надання гарантій</w:t>
            </w:r>
            <w:bookmarkEnd w:id="1"/>
            <w:r w:rsidR="0098031B" w:rsidRPr="00CC2883">
              <w:rPr>
                <w:rFonts w:eastAsia="Calibri"/>
                <w:color w:val="000000" w:themeColor="text1"/>
              </w:rPr>
              <w:t>,</w:t>
            </w:r>
            <w:r w:rsidR="00A84959" w:rsidRPr="00CC2883">
              <w:rPr>
                <w:rFonts w:eastAsia="Calibri"/>
                <w:color w:val="000000" w:themeColor="text1"/>
              </w:rPr>
              <w:t xml:space="preserve"> та про внесення змін до деяких нормативно-правових актів Національного банку України</w:t>
            </w:r>
          </w:p>
        </w:tc>
      </w:tr>
    </w:tbl>
    <w:p w14:paraId="6A154AFF" w14:textId="77777777" w:rsidR="00FF5C20" w:rsidRPr="00CC2883" w:rsidRDefault="0023702F">
      <w:pPr>
        <w:spacing w:before="240"/>
        <w:rPr>
          <w:color w:val="000000" w:themeColor="text1"/>
        </w:rPr>
      </w:pPr>
      <w:r w:rsidRPr="00CC2883">
        <w:rPr>
          <w:rFonts w:eastAsia="SimSun"/>
          <w:color w:val="000000" w:themeColor="text1"/>
        </w:rPr>
        <w:t>Відповідно до статей 7, 15, 55</w:t>
      </w:r>
      <w:r w:rsidRPr="00CC2883">
        <w:rPr>
          <w:rFonts w:eastAsia="SimSun"/>
          <w:color w:val="000000" w:themeColor="text1"/>
          <w:vertAlign w:val="superscript"/>
        </w:rPr>
        <w:t>1</w:t>
      </w:r>
      <w:r w:rsidRPr="00CC2883">
        <w:rPr>
          <w:rFonts w:eastAsia="SimSun"/>
          <w:color w:val="000000" w:themeColor="text1"/>
        </w:rPr>
        <w:t xml:space="preserve">, 56, 58 Закону України “Про Національний банк України”, статей 21, 28 Закону України “Про фінансові послуги та державне регулювання ринків фінансових послуг” з метою встановлення </w:t>
      </w:r>
      <w:r w:rsidRPr="00CC2883">
        <w:rPr>
          <w:bCs/>
          <w:color w:val="000000" w:themeColor="text1"/>
        </w:rPr>
        <w:t xml:space="preserve">обов’язкових економічних </w:t>
      </w:r>
      <w:r w:rsidRPr="00CC2883">
        <w:rPr>
          <w:rFonts w:eastAsia="Calibri"/>
          <w:color w:val="000000" w:themeColor="text1"/>
        </w:rPr>
        <w:t>нормативів та інших вимог, що обмежують ризики за операціями з фінансовими активами небанківських фінансових установ, які мають право надавати фінансові послуги з надання гарантій,</w:t>
      </w:r>
      <w:r w:rsidRPr="00CC2883">
        <w:rPr>
          <w:color w:val="000000" w:themeColor="text1"/>
        </w:rPr>
        <w:t xml:space="preserve"> Правління Національного банку України</w:t>
      </w:r>
      <w:r w:rsidRPr="00CC2883">
        <w:rPr>
          <w:b/>
          <w:color w:val="000000" w:themeColor="text1"/>
        </w:rPr>
        <w:t xml:space="preserve"> постановляє:</w:t>
      </w:r>
    </w:p>
    <w:p w14:paraId="4DEB1145" w14:textId="77777777" w:rsidR="00FF5C20" w:rsidRPr="00CC2883" w:rsidRDefault="00FF5C20">
      <w:pPr>
        <w:rPr>
          <w:b/>
          <w:color w:val="000000" w:themeColor="text1"/>
        </w:rPr>
      </w:pPr>
    </w:p>
    <w:p w14:paraId="4E026ED7" w14:textId="77777777" w:rsidR="00FF5C20" w:rsidRPr="00CC2883" w:rsidRDefault="0023702F">
      <w:pPr>
        <w:rPr>
          <w:color w:val="000000" w:themeColor="text1"/>
          <w:lang w:eastAsia="en-US"/>
        </w:rPr>
      </w:pPr>
      <w:r w:rsidRPr="00CC2883">
        <w:rPr>
          <w:color w:val="000000" w:themeColor="text1"/>
        </w:rPr>
        <w:t>1. </w:t>
      </w:r>
      <w:r w:rsidRPr="00CC2883">
        <w:rPr>
          <w:color w:val="000000" w:themeColor="text1"/>
          <w:lang w:eastAsia="en-US"/>
        </w:rPr>
        <w:t xml:space="preserve">Затвердити </w:t>
      </w:r>
      <w:r w:rsidRPr="00CC2883">
        <w:rPr>
          <w:rFonts w:eastAsia="Calibri"/>
          <w:color w:val="000000" w:themeColor="text1"/>
        </w:rPr>
        <w:t>Положення про обов’язкові економічні нормативи та інші вимоги, що обмежують ризики за операціями з фінансовими активами небанківських фінансових установ, які мають право надавати фінансові послуги з надання гарантій (далі ‒ Положення), що додається</w:t>
      </w:r>
      <w:r w:rsidRPr="00CC2883">
        <w:rPr>
          <w:color w:val="000000" w:themeColor="text1"/>
          <w:lang w:eastAsia="en-US"/>
        </w:rPr>
        <w:t>.</w:t>
      </w:r>
    </w:p>
    <w:p w14:paraId="4E6301BA" w14:textId="77777777" w:rsidR="00FF5C20" w:rsidRPr="00CC2883" w:rsidRDefault="00FF5C20">
      <w:pPr>
        <w:rPr>
          <w:color w:val="000000" w:themeColor="text1"/>
        </w:rPr>
      </w:pPr>
    </w:p>
    <w:p w14:paraId="47460B52" w14:textId="5E839DDF" w:rsidR="00FF5C20" w:rsidRPr="00CC2883" w:rsidRDefault="0023702F">
      <w:pPr>
        <w:rPr>
          <w:color w:val="000000" w:themeColor="text1"/>
          <w:lang w:eastAsia="en-US"/>
        </w:rPr>
      </w:pPr>
      <w:r w:rsidRPr="00CC2883">
        <w:rPr>
          <w:color w:val="000000" w:themeColor="text1"/>
          <w:lang w:eastAsia="en-US"/>
        </w:rPr>
        <w:t xml:space="preserve">2. У підпункті 4 пункту 9 розділу ІІІ </w:t>
      </w:r>
      <w:r w:rsidRPr="00CC2883">
        <w:rPr>
          <w:rStyle w:val="rvts23"/>
          <w:bCs/>
          <w:color w:val="000000" w:themeColor="text1"/>
          <w:shd w:val="clear" w:color="auto" w:fill="FFFFFF"/>
        </w:rPr>
        <w:t>Положення про застосування Національним банком України заходів впливу у сфері державного регулювання діяльності на ринках небанківських фінансових послуг, затвердженого п</w:t>
      </w:r>
      <w:r w:rsidRPr="00CC2883">
        <w:rPr>
          <w:rStyle w:val="rvts9"/>
          <w:bCs/>
          <w:color w:val="000000" w:themeColor="text1"/>
          <w:shd w:val="clear" w:color="auto" w:fill="FFFFFF"/>
        </w:rPr>
        <w:t>остановою Правління Національного банку України від 01</w:t>
      </w:r>
      <w:r w:rsidR="00A84959" w:rsidRPr="00CC2883">
        <w:rPr>
          <w:rStyle w:val="rvts9"/>
          <w:bCs/>
          <w:color w:val="000000" w:themeColor="text1"/>
          <w:shd w:val="clear" w:color="auto" w:fill="FFFFFF"/>
        </w:rPr>
        <w:t xml:space="preserve"> лютого </w:t>
      </w:r>
      <w:r w:rsidRPr="00CC2883">
        <w:rPr>
          <w:rStyle w:val="rvts9"/>
          <w:bCs/>
          <w:color w:val="000000" w:themeColor="text1"/>
          <w:shd w:val="clear" w:color="auto" w:fill="FFFFFF"/>
        </w:rPr>
        <w:t xml:space="preserve">2021 </w:t>
      </w:r>
      <w:r w:rsidR="00CE6446" w:rsidRPr="00CC2883">
        <w:rPr>
          <w:rStyle w:val="rvts9"/>
          <w:bCs/>
          <w:color w:val="000000" w:themeColor="text1"/>
          <w:shd w:val="clear" w:color="auto" w:fill="FFFFFF"/>
        </w:rPr>
        <w:t>року № </w:t>
      </w:r>
      <w:r w:rsidRPr="00CC2883">
        <w:rPr>
          <w:rStyle w:val="rvts9"/>
          <w:bCs/>
          <w:color w:val="000000" w:themeColor="text1"/>
          <w:shd w:val="clear" w:color="auto" w:fill="FFFFFF"/>
        </w:rPr>
        <w:t>12 (зі змінами), слова “о</w:t>
      </w:r>
      <w:r w:rsidRPr="00CC2883">
        <w:rPr>
          <w:color w:val="000000" w:themeColor="text1"/>
          <w:shd w:val="clear" w:color="auto" w:fill="FFFFFF"/>
        </w:rPr>
        <w:t>бов'язкових фінансових нормативів</w:t>
      </w:r>
      <w:r w:rsidRPr="00CC2883">
        <w:rPr>
          <w:rStyle w:val="rvts9"/>
          <w:bCs/>
          <w:color w:val="000000" w:themeColor="text1"/>
          <w:shd w:val="clear" w:color="auto" w:fill="FFFFFF"/>
        </w:rPr>
        <w:t>” замінити словами “о</w:t>
      </w:r>
      <w:r w:rsidRPr="00CC2883">
        <w:rPr>
          <w:color w:val="000000" w:themeColor="text1"/>
          <w:shd w:val="clear" w:color="auto" w:fill="FFFFFF"/>
        </w:rPr>
        <w:t>бов'язкових економічних нормативів</w:t>
      </w:r>
      <w:r w:rsidRPr="00CC2883">
        <w:rPr>
          <w:rStyle w:val="rvts9"/>
          <w:bCs/>
          <w:color w:val="000000" w:themeColor="text1"/>
          <w:shd w:val="clear" w:color="auto" w:fill="FFFFFF"/>
        </w:rPr>
        <w:t>”.</w:t>
      </w:r>
    </w:p>
    <w:p w14:paraId="652D1EF4" w14:textId="57C40822" w:rsidR="00FF5C20" w:rsidRPr="00CC2883" w:rsidRDefault="00FF5C20">
      <w:pPr>
        <w:rPr>
          <w:color w:val="000000" w:themeColor="text1"/>
          <w:lang w:eastAsia="en-US"/>
        </w:rPr>
      </w:pPr>
    </w:p>
    <w:p w14:paraId="6C948367" w14:textId="77777777" w:rsidR="00A84959" w:rsidRPr="00CC2883" w:rsidRDefault="0023702F">
      <w:pPr>
        <w:rPr>
          <w:color w:val="000000" w:themeColor="text1"/>
        </w:rPr>
      </w:pPr>
      <w:r w:rsidRPr="00CC2883">
        <w:rPr>
          <w:color w:val="000000" w:themeColor="text1"/>
          <w:lang w:eastAsia="en-US"/>
        </w:rPr>
        <w:t>3. </w:t>
      </w:r>
      <w:r w:rsidR="00A84959" w:rsidRPr="00CC2883">
        <w:rPr>
          <w:color w:val="000000" w:themeColor="text1"/>
        </w:rPr>
        <w:t xml:space="preserve">Пункт 35 додатку до постанови Правління Національного банку України від 25 червня 2020 року № 85 “Про забезпечення здійснення повноважень та виконання функцій з державного регулювання та нагляду у сфері ринків фінансових послуг з питань нагляду за діяльністю учасників ринків фінансових послуг” (зі змінами) виключити. </w:t>
      </w:r>
    </w:p>
    <w:p w14:paraId="163176B9" w14:textId="77777777" w:rsidR="00A84959" w:rsidRPr="00CC2883" w:rsidRDefault="00A84959">
      <w:pPr>
        <w:rPr>
          <w:color w:val="000000" w:themeColor="text1"/>
        </w:rPr>
      </w:pPr>
    </w:p>
    <w:p w14:paraId="0F097280" w14:textId="7AB4E5D5" w:rsidR="00FF5C20" w:rsidRPr="00CC2883" w:rsidRDefault="00A84959">
      <w:pPr>
        <w:rPr>
          <w:color w:val="000000" w:themeColor="text1"/>
        </w:rPr>
      </w:pPr>
      <w:r w:rsidRPr="00CC2883">
        <w:rPr>
          <w:color w:val="000000" w:themeColor="text1"/>
        </w:rPr>
        <w:lastRenderedPageBreak/>
        <w:t xml:space="preserve">4. </w:t>
      </w:r>
      <w:r w:rsidR="0023702F" w:rsidRPr="00CC2883">
        <w:rPr>
          <w:color w:val="000000" w:themeColor="text1"/>
          <w:lang w:eastAsia="en-US"/>
        </w:rPr>
        <w:t xml:space="preserve">Визнати таким, що втратило чинність, </w:t>
      </w:r>
      <w:r w:rsidR="0023702F" w:rsidRPr="00CC2883">
        <w:rPr>
          <w:color w:val="000000" w:themeColor="text1"/>
        </w:rPr>
        <w:t>р</w:t>
      </w:r>
      <w:r w:rsidR="0023702F" w:rsidRPr="00CC2883">
        <w:rPr>
          <w:bCs/>
          <w:color w:val="000000" w:themeColor="text1"/>
        </w:rPr>
        <w:t xml:space="preserve">озпорядження </w:t>
      </w:r>
      <w:r w:rsidR="0023702F" w:rsidRPr="00CC2883">
        <w:rPr>
          <w:color w:val="000000" w:themeColor="text1"/>
        </w:rPr>
        <w:t>Національної комісії, що здійснює державне регулювання у сфері ринків фінансових послуг, від 30 травня 2019 року № 980 “</w:t>
      </w:r>
      <w:r w:rsidR="0023702F" w:rsidRPr="00CC2883">
        <w:rPr>
          <w:color w:val="000000" w:themeColor="text1"/>
          <w:lang w:eastAsia="en-US"/>
        </w:rPr>
        <w:t>Про затвердження Положення про обов’язкові фінансові нормативи та вимоги, що обмежують ризики за операціями з фінансовими активами фінансових установ, що отримали ліцензію на здійснення господарської діяльності з надання гарантій та поручительств</w:t>
      </w:r>
      <w:r w:rsidR="0023702F" w:rsidRPr="00CC2883">
        <w:rPr>
          <w:bCs/>
          <w:color w:val="000000" w:themeColor="text1"/>
        </w:rPr>
        <w:t>”, зареєстроване в Міністерстві юстиції України 15 жовтня 2019 року за № </w:t>
      </w:r>
      <w:r w:rsidR="0023702F" w:rsidRPr="00CC2883">
        <w:rPr>
          <w:color w:val="000000" w:themeColor="text1"/>
          <w:lang w:eastAsia="en-US"/>
        </w:rPr>
        <w:t>1113/34084.</w:t>
      </w:r>
      <w:r w:rsidR="0023702F" w:rsidRPr="00CC2883">
        <w:rPr>
          <w:color w:val="000000" w:themeColor="text1"/>
        </w:rPr>
        <w:t xml:space="preserve"> </w:t>
      </w:r>
    </w:p>
    <w:p w14:paraId="787A55A3" w14:textId="77777777" w:rsidR="00FF5C20" w:rsidRPr="00CC2883" w:rsidRDefault="00FF5C20">
      <w:pPr>
        <w:rPr>
          <w:color w:val="000000" w:themeColor="text1"/>
        </w:rPr>
      </w:pPr>
    </w:p>
    <w:p w14:paraId="3C715183" w14:textId="4C6952E6" w:rsidR="00FF5C20" w:rsidRPr="00CC2883" w:rsidRDefault="0023702F">
      <w:pPr>
        <w:rPr>
          <w:color w:val="000000" w:themeColor="text1"/>
        </w:rPr>
      </w:pPr>
      <w:r w:rsidRPr="00CC2883">
        <w:rPr>
          <w:color w:val="000000" w:themeColor="text1"/>
          <w:lang w:eastAsia="en-US"/>
        </w:rPr>
        <w:t xml:space="preserve">5. Постанова набирає чинності </w:t>
      </w:r>
      <w:r w:rsidRPr="00CC2883">
        <w:rPr>
          <w:color w:val="000000" w:themeColor="text1"/>
          <w:sz w:val="29"/>
          <w:szCs w:val="29"/>
        </w:rPr>
        <w:t>з</w:t>
      </w:r>
      <w:r w:rsidRPr="00CC2883">
        <w:rPr>
          <w:color w:val="000000" w:themeColor="text1"/>
          <w:lang w:eastAsia="en-US"/>
        </w:rPr>
        <w:t xml:space="preserve"> 01 вересня 2022 року</w:t>
      </w:r>
      <w:r w:rsidRPr="00CC2883">
        <w:rPr>
          <w:color w:val="000000" w:themeColor="text1"/>
        </w:rPr>
        <w:t>.</w:t>
      </w:r>
    </w:p>
    <w:p w14:paraId="6250DC4A" w14:textId="77777777" w:rsidR="00FF5C20" w:rsidRPr="00CC2883" w:rsidRDefault="00FF5C20">
      <w:pPr>
        <w:rPr>
          <w:color w:val="000000" w:themeColor="text1"/>
        </w:rPr>
      </w:pPr>
    </w:p>
    <w:p w14:paraId="531FEA95" w14:textId="77777777" w:rsidR="00FF5C20" w:rsidRPr="00CC2883" w:rsidRDefault="00FF5C20">
      <w:pPr>
        <w:rPr>
          <w:color w:val="000000" w:themeColor="text1"/>
        </w:rPr>
      </w:pPr>
    </w:p>
    <w:p w14:paraId="0A773EF5" w14:textId="77777777" w:rsidR="00FF5C20" w:rsidRPr="00CC2883" w:rsidRDefault="00FF5C20">
      <w:pPr>
        <w:rPr>
          <w:color w:val="000000" w:themeColor="text1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FF5C20" w:rsidRPr="00CC2883" w14:paraId="650193FF" w14:textId="77777777">
        <w:trPr>
          <w:trHeight w:val="222"/>
        </w:trPr>
        <w:tc>
          <w:tcPr>
            <w:tcW w:w="5494" w:type="dxa"/>
            <w:shd w:val="clear" w:color="auto" w:fill="auto"/>
            <w:vAlign w:val="bottom"/>
          </w:tcPr>
          <w:p w14:paraId="1BB6F4E7" w14:textId="77777777" w:rsidR="00FF5C20" w:rsidRPr="00CC2883" w:rsidRDefault="0023702F">
            <w:pPr>
              <w:jc w:val="left"/>
              <w:rPr>
                <w:color w:val="000000" w:themeColor="text1"/>
              </w:rPr>
            </w:pPr>
            <w:r w:rsidRPr="00CC2883">
              <w:rPr>
                <w:rFonts w:eastAsia="SimSun"/>
                <w:color w:val="000000" w:themeColor="text1"/>
              </w:rPr>
              <w:t>Голова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54DE08B9" w14:textId="77777777" w:rsidR="00FF5C20" w:rsidRPr="00CC2883" w:rsidRDefault="0023702F">
            <w:pPr>
              <w:tabs>
                <w:tab w:val="left" w:pos="7020"/>
                <w:tab w:val="left" w:pos="7200"/>
              </w:tabs>
              <w:ind w:left="32"/>
              <w:jc w:val="right"/>
              <w:rPr>
                <w:color w:val="000000" w:themeColor="text1"/>
              </w:rPr>
            </w:pPr>
            <w:r w:rsidRPr="00CC2883">
              <w:rPr>
                <w:rFonts w:eastAsia="SimSun"/>
                <w:color w:val="000000" w:themeColor="text1"/>
              </w:rPr>
              <w:t>Кирило ШЕВЧЕНКО</w:t>
            </w:r>
          </w:p>
        </w:tc>
      </w:tr>
    </w:tbl>
    <w:p w14:paraId="089781F8" w14:textId="77777777" w:rsidR="00FF5C20" w:rsidRPr="00CC2883" w:rsidRDefault="00FF5C20">
      <w:pPr>
        <w:rPr>
          <w:color w:val="000000" w:themeColor="text1"/>
        </w:rPr>
      </w:pPr>
    </w:p>
    <w:p w14:paraId="3761C2E3" w14:textId="77777777" w:rsidR="00FF5C20" w:rsidRPr="00CC2883" w:rsidRDefault="00FF5C20">
      <w:pPr>
        <w:rPr>
          <w:color w:val="000000" w:themeColor="text1"/>
        </w:rPr>
      </w:pPr>
    </w:p>
    <w:p w14:paraId="3C7E565B" w14:textId="77777777" w:rsidR="00FF5C20" w:rsidRPr="00CC2883" w:rsidRDefault="00FF5C20">
      <w:pPr>
        <w:rPr>
          <w:color w:val="000000" w:themeColor="text1"/>
        </w:rPr>
      </w:pPr>
    </w:p>
    <w:p w14:paraId="55C3BD5F" w14:textId="77777777" w:rsidR="00FF5C20" w:rsidRPr="00CC2883" w:rsidRDefault="0023702F">
      <w:pPr>
        <w:jc w:val="left"/>
        <w:rPr>
          <w:color w:val="000000" w:themeColor="text1"/>
        </w:rPr>
      </w:pPr>
      <w:r w:rsidRPr="00CC2883">
        <w:rPr>
          <w:color w:val="000000" w:themeColor="text1"/>
        </w:rPr>
        <w:t>Інд.</w:t>
      </w:r>
      <w:r w:rsidRPr="00CC2883">
        <w:rPr>
          <w:color w:val="000000" w:themeColor="text1"/>
          <w:sz w:val="22"/>
          <w:szCs w:val="22"/>
        </w:rPr>
        <w:t xml:space="preserve"> </w:t>
      </w:r>
      <w:r w:rsidRPr="00CC2883">
        <w:rPr>
          <w:color w:val="000000" w:themeColor="text1"/>
        </w:rPr>
        <w:t>33</w:t>
      </w:r>
    </w:p>
    <w:p w14:paraId="5144B6F5" w14:textId="77777777" w:rsidR="00FF5C20" w:rsidRPr="00CC2883" w:rsidRDefault="00FF5C20">
      <w:pPr>
        <w:jc w:val="left"/>
        <w:rPr>
          <w:color w:val="000000" w:themeColor="text1"/>
        </w:rPr>
      </w:pPr>
    </w:p>
    <w:p w14:paraId="542BBFDA" w14:textId="77777777" w:rsidR="00FF5C20" w:rsidRPr="00CC2883" w:rsidRDefault="00FF5C20">
      <w:pPr>
        <w:jc w:val="left"/>
        <w:rPr>
          <w:color w:val="000000" w:themeColor="text1"/>
        </w:rPr>
      </w:pPr>
    </w:p>
    <w:p w14:paraId="2D6BE8C9" w14:textId="77777777" w:rsidR="00FF5C20" w:rsidRPr="00CC2883" w:rsidRDefault="0023702F">
      <w:pPr>
        <w:rPr>
          <w:color w:val="000000" w:themeColor="text1"/>
        </w:rPr>
        <w:sectPr w:rsidR="00FF5C20" w:rsidRPr="00CC2883">
          <w:headerReference w:type="default" r:id="rId14"/>
          <w:footerReference w:type="default" r:id="rId15"/>
          <w:footerReference w:type="first" r:id="rId16"/>
          <w:pgSz w:w="11906" w:h="16838"/>
          <w:pgMar w:top="766" w:right="567" w:bottom="1701" w:left="1701" w:header="709" w:footer="709" w:gutter="0"/>
          <w:cols w:space="720"/>
          <w:formProt w:val="0"/>
          <w:titlePg/>
          <w:docGrid w:linePitch="381"/>
        </w:sectPr>
      </w:pPr>
      <w:r w:rsidRPr="00CC2883">
        <w:rPr>
          <w:color w:val="000000" w:themeColor="text1"/>
        </w:rPr>
        <w:t>Аркуш погодження додається</w:t>
      </w:r>
    </w:p>
    <w:tbl>
      <w:tblPr>
        <w:tblStyle w:val="21"/>
        <w:tblW w:w="9355" w:type="dxa"/>
        <w:tblLook w:val="0400" w:firstRow="0" w:lastRow="0" w:firstColumn="0" w:lastColumn="0" w:noHBand="0" w:noVBand="1"/>
      </w:tblPr>
      <w:tblGrid>
        <w:gridCol w:w="5321"/>
        <w:gridCol w:w="4034"/>
      </w:tblGrid>
      <w:tr w:rsidR="00FF5C20" w:rsidRPr="00CC2883" w14:paraId="4F6082AB" w14:textId="77777777">
        <w:trPr>
          <w:trHeight w:val="1433"/>
        </w:trPr>
        <w:tc>
          <w:tcPr>
            <w:tcW w:w="5320" w:type="dxa"/>
            <w:shd w:val="clear" w:color="auto" w:fill="auto"/>
          </w:tcPr>
          <w:p w14:paraId="445383D9" w14:textId="77777777" w:rsidR="00FF5C20" w:rsidRPr="00CC2883" w:rsidRDefault="00FF5C20">
            <w:pPr>
              <w:pageBreakBefore/>
              <w:widowControl w:val="0"/>
              <w:rPr>
                <w:rFonts w:eastAsia="Calibri"/>
                <w:color w:val="000000" w:themeColor="text1"/>
                <w:szCs w:val="22"/>
              </w:rPr>
            </w:pPr>
          </w:p>
        </w:tc>
        <w:tc>
          <w:tcPr>
            <w:tcW w:w="4034" w:type="dxa"/>
            <w:shd w:val="clear" w:color="auto" w:fill="auto"/>
          </w:tcPr>
          <w:p w14:paraId="52F5EDCE" w14:textId="77777777" w:rsidR="00FF5C20" w:rsidRPr="00CC2883" w:rsidRDefault="0023702F">
            <w:pPr>
              <w:widowControl w:val="0"/>
              <w:ind w:firstLine="0"/>
              <w:rPr>
                <w:color w:val="000000" w:themeColor="text1"/>
              </w:rPr>
            </w:pPr>
            <w:r w:rsidRPr="00CC2883">
              <w:rPr>
                <w:rFonts w:eastAsia="Calibri"/>
                <w:color w:val="000000" w:themeColor="text1"/>
                <w:szCs w:val="22"/>
              </w:rPr>
              <w:t>ЗАТВЕРДЖЕНО</w:t>
            </w:r>
          </w:p>
          <w:p w14:paraId="3FB0C6BC" w14:textId="77777777" w:rsidR="00FF5C20" w:rsidRPr="00CC2883" w:rsidRDefault="0023702F">
            <w:pPr>
              <w:ind w:firstLine="0"/>
              <w:rPr>
                <w:color w:val="000000" w:themeColor="text1"/>
              </w:rPr>
            </w:pPr>
            <w:r w:rsidRPr="00CC2883">
              <w:rPr>
                <w:rFonts w:eastAsia="Calibri"/>
                <w:color w:val="000000" w:themeColor="text1"/>
                <w:szCs w:val="22"/>
              </w:rPr>
              <w:t>Постанова Правління</w:t>
            </w:r>
          </w:p>
          <w:p w14:paraId="7BC4FE66" w14:textId="77777777" w:rsidR="00FF5C20" w:rsidRPr="00CC2883" w:rsidRDefault="0023702F">
            <w:pPr>
              <w:ind w:firstLine="0"/>
              <w:rPr>
                <w:color w:val="000000" w:themeColor="text1"/>
              </w:rPr>
            </w:pPr>
            <w:r w:rsidRPr="00CC2883">
              <w:rPr>
                <w:rFonts w:eastAsia="Calibri"/>
                <w:color w:val="000000" w:themeColor="text1"/>
                <w:szCs w:val="22"/>
              </w:rPr>
              <w:t>Національного банку України</w:t>
            </w:r>
          </w:p>
        </w:tc>
      </w:tr>
    </w:tbl>
    <w:p w14:paraId="4481BE73" w14:textId="77777777" w:rsidR="00FF5C20" w:rsidRPr="00CC2883" w:rsidRDefault="00FF5C20">
      <w:pPr>
        <w:ind w:left="5954"/>
        <w:rPr>
          <w:rFonts w:eastAsia="Calibri"/>
          <w:color w:val="000000" w:themeColor="text1"/>
        </w:rPr>
      </w:pPr>
    </w:p>
    <w:p w14:paraId="407423EF" w14:textId="77777777" w:rsidR="00FF5C20" w:rsidRPr="00CC2883" w:rsidRDefault="00FF5C20">
      <w:pPr>
        <w:ind w:left="5954"/>
        <w:rPr>
          <w:rFonts w:eastAsia="Calibri"/>
          <w:color w:val="000000" w:themeColor="text1"/>
        </w:rPr>
      </w:pPr>
    </w:p>
    <w:p w14:paraId="42935FB7" w14:textId="77777777" w:rsidR="00FF5C20" w:rsidRPr="00CC2883" w:rsidRDefault="00FF5C20">
      <w:pPr>
        <w:jc w:val="center"/>
        <w:rPr>
          <w:rFonts w:eastAsia="Calibri"/>
          <w:color w:val="000000" w:themeColor="text1"/>
        </w:rPr>
      </w:pPr>
    </w:p>
    <w:p w14:paraId="2ACBCBCB" w14:textId="77777777" w:rsidR="00FF5C20" w:rsidRPr="00CC2883" w:rsidRDefault="0023702F">
      <w:pPr>
        <w:ind w:firstLine="0"/>
        <w:jc w:val="center"/>
        <w:rPr>
          <w:rFonts w:eastAsia="Calibri"/>
          <w:color w:val="000000" w:themeColor="text1"/>
        </w:rPr>
      </w:pPr>
      <w:r w:rsidRPr="00CC2883">
        <w:rPr>
          <w:rFonts w:eastAsia="Calibri"/>
          <w:color w:val="000000" w:themeColor="text1"/>
        </w:rPr>
        <w:t>Положення</w:t>
      </w:r>
    </w:p>
    <w:p w14:paraId="6755FC31" w14:textId="77777777" w:rsidR="00FF5C20" w:rsidRPr="00CC2883" w:rsidRDefault="0023702F">
      <w:pPr>
        <w:ind w:firstLine="0"/>
        <w:jc w:val="center"/>
        <w:rPr>
          <w:color w:val="000000" w:themeColor="text1"/>
        </w:rPr>
      </w:pPr>
      <w:r w:rsidRPr="00CC2883">
        <w:rPr>
          <w:rFonts w:eastAsia="Calibri"/>
          <w:color w:val="000000" w:themeColor="text1"/>
        </w:rPr>
        <w:t>про обов’язкові економічні нормативи та інші вимоги, що обмежують ризики за операціями з фінансовими активами небанківських фінансових установ, які мають право надавати фінансові послуги з надання гарантій</w:t>
      </w:r>
    </w:p>
    <w:p w14:paraId="68B8CEA5" w14:textId="77777777" w:rsidR="00FF5C20" w:rsidRPr="00CC2883" w:rsidRDefault="00FF5C20">
      <w:pPr>
        <w:ind w:firstLine="0"/>
        <w:jc w:val="center"/>
        <w:rPr>
          <w:rFonts w:eastAsia="Calibri"/>
          <w:color w:val="000000" w:themeColor="text1"/>
        </w:rPr>
      </w:pPr>
    </w:p>
    <w:p w14:paraId="14DC90E5" w14:textId="77777777" w:rsidR="00FF5C20" w:rsidRPr="00CC2883" w:rsidRDefault="0023702F">
      <w:pPr>
        <w:pStyle w:val="afc"/>
        <w:shd w:val="clear" w:color="auto" w:fill="FFFFFF"/>
        <w:ind w:left="0" w:firstLine="0"/>
        <w:jc w:val="center"/>
        <w:outlineLvl w:val="0"/>
        <w:rPr>
          <w:bCs/>
          <w:color w:val="000000" w:themeColor="text1"/>
        </w:rPr>
      </w:pPr>
      <w:r w:rsidRPr="00CC2883">
        <w:rPr>
          <w:rFonts w:eastAsia="Calibri"/>
          <w:color w:val="000000" w:themeColor="text1"/>
        </w:rPr>
        <w:t xml:space="preserve">І. </w:t>
      </w:r>
      <w:r w:rsidRPr="00CC2883">
        <w:rPr>
          <w:bCs/>
          <w:color w:val="000000" w:themeColor="text1"/>
        </w:rPr>
        <w:t>Загальні положення</w:t>
      </w:r>
    </w:p>
    <w:p w14:paraId="6CAF6BD1" w14:textId="77777777" w:rsidR="00FF5C20" w:rsidRPr="00CC2883" w:rsidRDefault="00FF5C20">
      <w:pPr>
        <w:shd w:val="clear" w:color="auto" w:fill="FFFFFF"/>
        <w:jc w:val="center"/>
        <w:rPr>
          <w:color w:val="000000" w:themeColor="text1"/>
        </w:rPr>
      </w:pPr>
    </w:p>
    <w:p w14:paraId="20C82DD5" w14:textId="77777777" w:rsidR="00FF5C20" w:rsidRPr="00CC2883" w:rsidRDefault="0023702F">
      <w:pPr>
        <w:pStyle w:val="afc"/>
        <w:numPr>
          <w:ilvl w:val="0"/>
          <w:numId w:val="1"/>
        </w:numPr>
        <w:shd w:val="clear" w:color="auto" w:fill="FFFFFF"/>
        <w:tabs>
          <w:tab w:val="left" w:pos="1134"/>
        </w:tabs>
        <w:ind w:left="0"/>
        <w:rPr>
          <w:color w:val="000000" w:themeColor="text1"/>
        </w:rPr>
      </w:pPr>
      <w:bookmarkStart w:id="2" w:name="n27"/>
      <w:bookmarkEnd w:id="2"/>
      <w:r w:rsidRPr="00CC2883">
        <w:rPr>
          <w:color w:val="000000" w:themeColor="text1"/>
        </w:rPr>
        <w:t>Це Положення розроблено відповідно до Законів України “Про Національний банк України”, “Про фінансові послуги та державне регулювання ринків фінансових послуг” (далі – Закон про фінансові послуги).</w:t>
      </w:r>
    </w:p>
    <w:p w14:paraId="3A93166D" w14:textId="77777777" w:rsidR="00FF5C20" w:rsidRPr="00CC2883" w:rsidRDefault="00FF5C20">
      <w:pPr>
        <w:pStyle w:val="afc"/>
        <w:shd w:val="clear" w:color="auto" w:fill="FFFFFF"/>
        <w:tabs>
          <w:tab w:val="left" w:pos="993"/>
        </w:tabs>
        <w:ind w:left="0"/>
        <w:rPr>
          <w:color w:val="000000" w:themeColor="text1"/>
        </w:rPr>
      </w:pPr>
    </w:p>
    <w:p w14:paraId="37D02977" w14:textId="2F84939F" w:rsidR="00FF5C20" w:rsidRPr="00CC2883" w:rsidRDefault="0023702F">
      <w:pPr>
        <w:pStyle w:val="afc"/>
        <w:numPr>
          <w:ilvl w:val="0"/>
          <w:numId w:val="1"/>
        </w:numPr>
        <w:shd w:val="clear" w:color="auto" w:fill="FFFFFF"/>
        <w:tabs>
          <w:tab w:val="left" w:pos="1134"/>
        </w:tabs>
        <w:ind w:left="0"/>
        <w:rPr>
          <w:color w:val="000000" w:themeColor="text1"/>
        </w:rPr>
      </w:pPr>
      <w:r w:rsidRPr="00CC2883">
        <w:rPr>
          <w:color w:val="000000" w:themeColor="text1"/>
        </w:rPr>
        <w:t xml:space="preserve">У цьому Положенні терміни вживаються в </w:t>
      </w:r>
      <w:r w:rsidR="00A84959" w:rsidRPr="00CC2883">
        <w:rPr>
          <w:color w:val="000000" w:themeColor="text1"/>
        </w:rPr>
        <w:t>таких значеннях</w:t>
      </w:r>
      <w:r w:rsidRPr="00CC2883">
        <w:rPr>
          <w:color w:val="000000" w:themeColor="text1"/>
        </w:rPr>
        <w:t>:</w:t>
      </w:r>
    </w:p>
    <w:p w14:paraId="47D39A37" w14:textId="77777777" w:rsidR="00FF5C20" w:rsidRPr="00CC2883" w:rsidRDefault="00FF5C20">
      <w:pPr>
        <w:pStyle w:val="afc"/>
        <w:shd w:val="clear" w:color="auto" w:fill="FFFFFF"/>
        <w:tabs>
          <w:tab w:val="left" w:pos="993"/>
        </w:tabs>
        <w:ind w:left="0"/>
        <w:rPr>
          <w:color w:val="000000" w:themeColor="text1"/>
        </w:rPr>
      </w:pPr>
    </w:p>
    <w:p w14:paraId="1BCFFD9C" w14:textId="77777777" w:rsidR="00FF5C20" w:rsidRPr="00CC2883" w:rsidRDefault="0023702F">
      <w:pPr>
        <w:pStyle w:val="afc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</w:rPr>
      </w:pPr>
      <w:r w:rsidRPr="00CC2883">
        <w:rPr>
          <w:color w:val="000000" w:themeColor="text1"/>
        </w:rPr>
        <w:t>базові відносини - відносини між принципалом та бенефіціаром, які виникають на підставі договору, інших правочинів, тендерної документації, законодавчих актів щодо зобов'язань принципала на користь бенефіціара, виконання яких забезпечує гарантія;</w:t>
      </w:r>
    </w:p>
    <w:p w14:paraId="1541040B" w14:textId="77777777" w:rsidR="00FF5C20" w:rsidRPr="00CC2883" w:rsidRDefault="00FF5C20">
      <w:pPr>
        <w:shd w:val="clear" w:color="auto" w:fill="FFFFFF"/>
        <w:tabs>
          <w:tab w:val="left" w:pos="993"/>
        </w:tabs>
        <w:rPr>
          <w:color w:val="000000" w:themeColor="text1"/>
        </w:rPr>
      </w:pPr>
    </w:p>
    <w:p w14:paraId="7A44E093" w14:textId="77777777" w:rsidR="00FF5C20" w:rsidRPr="00CC2883" w:rsidRDefault="0023702F">
      <w:pPr>
        <w:pStyle w:val="afc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</w:rPr>
      </w:pPr>
      <w:r w:rsidRPr="00CC2883">
        <w:rPr>
          <w:rStyle w:val="ListLabel14"/>
        </w:rPr>
        <w:t>бенефіціар</w:t>
      </w:r>
      <w:r w:rsidRPr="00CC2883">
        <w:rPr>
          <w:color w:val="000000" w:themeColor="text1"/>
        </w:rPr>
        <w:t xml:space="preserve"> - особа, на користь якої надається гарантія;</w:t>
      </w:r>
    </w:p>
    <w:p w14:paraId="3F686BA7" w14:textId="77777777" w:rsidR="00FF5C20" w:rsidRPr="00CC2883" w:rsidRDefault="00FF5C20">
      <w:pPr>
        <w:shd w:val="clear" w:color="auto" w:fill="FFFFFF"/>
        <w:tabs>
          <w:tab w:val="left" w:pos="993"/>
        </w:tabs>
        <w:rPr>
          <w:color w:val="000000" w:themeColor="text1"/>
        </w:rPr>
      </w:pPr>
    </w:p>
    <w:p w14:paraId="23F6B013" w14:textId="77777777" w:rsidR="00FF5C20" w:rsidRPr="00CC2883" w:rsidRDefault="0023702F">
      <w:pPr>
        <w:pStyle w:val="afc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</w:rPr>
      </w:pPr>
      <w:r w:rsidRPr="00CC2883">
        <w:rPr>
          <w:color w:val="000000" w:themeColor="text1"/>
        </w:rPr>
        <w:t xml:space="preserve"> гарантія - спосіб забезпечення виконання зобов'язань, відповідно до якого гарант бере на себе грошове зобов'язання перед бенефіціаром сплатити кошти в разі настання гарантійного випадку;</w:t>
      </w:r>
    </w:p>
    <w:p w14:paraId="49CD8A8A" w14:textId="77777777" w:rsidR="00FF5C20" w:rsidRPr="00CC2883" w:rsidRDefault="00FF5C20">
      <w:pPr>
        <w:shd w:val="clear" w:color="auto" w:fill="FFFFFF"/>
        <w:tabs>
          <w:tab w:val="left" w:pos="993"/>
        </w:tabs>
        <w:rPr>
          <w:rStyle w:val="ad"/>
          <w:color w:val="000000" w:themeColor="text1"/>
        </w:rPr>
      </w:pPr>
    </w:p>
    <w:p w14:paraId="6D48AE77" w14:textId="77777777" w:rsidR="00FF5C20" w:rsidRPr="00CC2883" w:rsidRDefault="0023702F">
      <w:pPr>
        <w:pStyle w:val="afc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rStyle w:val="ad"/>
          <w:color w:val="000000" w:themeColor="text1"/>
          <w:u w:val="none"/>
        </w:rPr>
      </w:pPr>
      <w:r w:rsidRPr="00CC2883">
        <w:rPr>
          <w:rStyle w:val="ad"/>
          <w:color w:val="000000" w:themeColor="text1"/>
          <w:u w:val="none"/>
        </w:rPr>
        <w:t>гарантійний випадок - одержання гарантом вимоги бенефіціара, що становить належне представлення, протягом строку дії або до дати закінчення дії гарантії, що свідчить про порушення принципалом базових відносин;</w:t>
      </w:r>
    </w:p>
    <w:p w14:paraId="1859FF5F" w14:textId="77777777" w:rsidR="00FF5C20" w:rsidRPr="00CC2883" w:rsidRDefault="00FF5C20">
      <w:pPr>
        <w:shd w:val="clear" w:color="auto" w:fill="FFFFFF"/>
        <w:tabs>
          <w:tab w:val="left" w:pos="993"/>
        </w:tabs>
        <w:ind w:left="709" w:firstLine="0"/>
        <w:rPr>
          <w:rStyle w:val="ad"/>
          <w:color w:val="000000" w:themeColor="text1"/>
        </w:rPr>
      </w:pPr>
    </w:p>
    <w:p w14:paraId="4FA6A7F7" w14:textId="77777777" w:rsidR="00FF5C20" w:rsidRPr="00CC2883" w:rsidRDefault="0023702F">
      <w:pPr>
        <w:pStyle w:val="afc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rStyle w:val="ad"/>
          <w:color w:val="000000" w:themeColor="text1"/>
          <w:u w:val="none"/>
        </w:rPr>
      </w:pPr>
      <w:r w:rsidRPr="00CC2883">
        <w:rPr>
          <w:rStyle w:val="ad"/>
          <w:color w:val="000000" w:themeColor="text1"/>
          <w:u w:val="none"/>
        </w:rPr>
        <w:t>група пов’язаних осіб ‒ дві або більше пов’язані особи;</w:t>
      </w:r>
    </w:p>
    <w:p w14:paraId="4786A15F" w14:textId="77777777" w:rsidR="00FF5C20" w:rsidRPr="00CC2883" w:rsidRDefault="00FF5C20">
      <w:pPr>
        <w:shd w:val="clear" w:color="auto" w:fill="FFFFFF"/>
        <w:tabs>
          <w:tab w:val="left" w:pos="993"/>
        </w:tabs>
        <w:rPr>
          <w:rStyle w:val="ad"/>
          <w:color w:val="000000" w:themeColor="text1"/>
          <w:u w:val="none"/>
        </w:rPr>
      </w:pPr>
    </w:p>
    <w:p w14:paraId="12E98FE8" w14:textId="77777777" w:rsidR="00FF5C20" w:rsidRPr="00CC2883" w:rsidRDefault="0023702F">
      <w:pPr>
        <w:pStyle w:val="afc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rStyle w:val="ad"/>
          <w:color w:val="000000" w:themeColor="text1"/>
          <w:u w:val="none"/>
        </w:rPr>
      </w:pPr>
      <w:r w:rsidRPr="00CC2883">
        <w:rPr>
          <w:rStyle w:val="ad"/>
          <w:color w:val="000000" w:themeColor="text1"/>
          <w:u w:val="none"/>
        </w:rPr>
        <w:t>належне представлення - представлення документів за гарантією, яке відповідає вимогам і умовам такої гарантії; вимогам правил, яким підпорядковується гарантія, а якщо немає відповідного положення в гарантії або правилах, - міжнародній стандартній практиці за гарантіями;</w:t>
      </w:r>
    </w:p>
    <w:p w14:paraId="25427B51" w14:textId="77777777" w:rsidR="00FF5C20" w:rsidRPr="00CC2883" w:rsidRDefault="00FF5C20">
      <w:pPr>
        <w:shd w:val="clear" w:color="auto" w:fill="FFFFFF"/>
        <w:tabs>
          <w:tab w:val="left" w:pos="993"/>
        </w:tabs>
        <w:ind w:left="709" w:firstLine="0"/>
        <w:rPr>
          <w:rStyle w:val="ad"/>
          <w:color w:val="000000" w:themeColor="text1"/>
          <w:u w:val="none"/>
        </w:rPr>
      </w:pPr>
    </w:p>
    <w:p w14:paraId="0281A992" w14:textId="77777777" w:rsidR="00FF5C20" w:rsidRPr="00CC2883" w:rsidRDefault="0023702F">
      <w:pPr>
        <w:pStyle w:val="afc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</w:rPr>
      </w:pPr>
      <w:r w:rsidRPr="00CC2883">
        <w:rPr>
          <w:color w:val="000000" w:themeColor="text1"/>
          <w:shd w:val="clear" w:color="auto" w:fill="FFFFFF"/>
        </w:rPr>
        <w:t xml:space="preserve">прийнятні активи </w:t>
      </w:r>
      <w:r w:rsidRPr="00CC2883">
        <w:rPr>
          <w:color w:val="000000" w:themeColor="text1"/>
        </w:rPr>
        <w:t xml:space="preserve">- активи гаранта, що включають грошові кошти та їх еквіваленти, а також боргові цінні папери (державні облігації України, облігації </w:t>
      </w:r>
      <w:r w:rsidRPr="00CC2883">
        <w:rPr>
          <w:color w:val="000000" w:themeColor="text1"/>
        </w:rPr>
        <w:lastRenderedPageBreak/>
        <w:t>місцевих позик, облігації міжнародних фінансових організацій), що перебувають в біржовому списку (за винятком активів, сум, що стосуються коштів, використання яких обмежено, та/або за виключенням грошових коштів на рахунках у банках, що віднесені до категорії неплатоспроможних);</w:t>
      </w:r>
    </w:p>
    <w:p w14:paraId="43530308" w14:textId="77777777" w:rsidR="00FF5C20" w:rsidRPr="00CC2883" w:rsidRDefault="00FF5C20">
      <w:pPr>
        <w:shd w:val="clear" w:color="auto" w:fill="FFFFFF"/>
        <w:tabs>
          <w:tab w:val="left" w:pos="993"/>
        </w:tabs>
        <w:rPr>
          <w:color w:val="000000" w:themeColor="text1"/>
        </w:rPr>
      </w:pPr>
      <w:bookmarkStart w:id="3" w:name="w1_5"/>
      <w:bookmarkEnd w:id="3"/>
    </w:p>
    <w:p w14:paraId="62A81E33" w14:textId="77777777" w:rsidR="00FF5C20" w:rsidRPr="00CC2883" w:rsidRDefault="0023702F">
      <w:pPr>
        <w:pStyle w:val="afc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</w:rPr>
      </w:pPr>
      <w:r w:rsidRPr="00CC2883">
        <w:rPr>
          <w:color w:val="000000" w:themeColor="text1"/>
        </w:rPr>
        <w:t>принципал - особа, зазначена в гарантії як така, яка має зобов'язання за базовими відносинами, що забезпечуються такою гарантією.</w:t>
      </w:r>
    </w:p>
    <w:p w14:paraId="0486BB90" w14:textId="5E03364F" w:rsidR="00580D2E" w:rsidRPr="00CC2883" w:rsidRDefault="0023702F">
      <w:pPr>
        <w:rPr>
          <w:color w:val="000000" w:themeColor="text1"/>
        </w:rPr>
      </w:pPr>
      <w:bookmarkStart w:id="4" w:name="n26"/>
      <w:bookmarkStart w:id="5" w:name="n25"/>
      <w:bookmarkEnd w:id="4"/>
      <w:bookmarkEnd w:id="5"/>
      <w:r w:rsidRPr="00CC2883">
        <w:rPr>
          <w:color w:val="000000" w:themeColor="text1"/>
        </w:rPr>
        <w:t>Термін “активи” вживається в цьому Положенні в значенні, наведеному в Закон</w:t>
      </w:r>
      <w:r w:rsidR="0037082F">
        <w:rPr>
          <w:color w:val="000000" w:themeColor="text1"/>
        </w:rPr>
        <w:t>і</w:t>
      </w:r>
      <w:r w:rsidRPr="00CC2883">
        <w:rPr>
          <w:color w:val="000000" w:themeColor="text1"/>
        </w:rPr>
        <w:t xml:space="preserve"> України “Про бухгалтерський облік та фінансову звітність в Україні”.</w:t>
      </w:r>
    </w:p>
    <w:p w14:paraId="5EC337FA" w14:textId="77777777" w:rsidR="00580D2E" w:rsidRPr="00CC2883" w:rsidRDefault="0023702F">
      <w:pPr>
        <w:rPr>
          <w:color w:val="000000" w:themeColor="text1"/>
        </w:rPr>
      </w:pPr>
      <w:r w:rsidRPr="00CC2883">
        <w:rPr>
          <w:color w:val="000000" w:themeColor="text1"/>
        </w:rPr>
        <w:t xml:space="preserve">Термін “повʼязана особа” вживається в цьому Положенні в значенні, наведеному в Законі про фінансові послуги. </w:t>
      </w:r>
    </w:p>
    <w:p w14:paraId="669B88A1" w14:textId="6F9AA10B" w:rsidR="00FF5C20" w:rsidRPr="00CC2883" w:rsidRDefault="0023702F">
      <w:pPr>
        <w:rPr>
          <w:color w:val="000000" w:themeColor="text1"/>
        </w:rPr>
      </w:pPr>
      <w:r w:rsidRPr="00CC2883">
        <w:rPr>
          <w:color w:val="000000" w:themeColor="text1"/>
        </w:rPr>
        <w:t xml:space="preserve">Інші терміни, які вживаються у цьому Положенні, вживаються у значеннях, наведених </w:t>
      </w:r>
      <w:r w:rsidR="00E55C3C" w:rsidRPr="00CC2883">
        <w:rPr>
          <w:color w:val="000000" w:themeColor="text1"/>
        </w:rPr>
        <w:t xml:space="preserve">в законах </w:t>
      </w:r>
      <w:r w:rsidRPr="00CC2883">
        <w:rPr>
          <w:color w:val="000000" w:themeColor="text1"/>
        </w:rPr>
        <w:t xml:space="preserve">України та </w:t>
      </w:r>
      <w:r w:rsidR="00E55C3C" w:rsidRPr="00CC2883">
        <w:rPr>
          <w:color w:val="000000" w:themeColor="text1"/>
        </w:rPr>
        <w:t xml:space="preserve">інших </w:t>
      </w:r>
      <w:r w:rsidRPr="00CC2883">
        <w:rPr>
          <w:color w:val="000000" w:themeColor="text1"/>
        </w:rPr>
        <w:t>нормативно-</w:t>
      </w:r>
      <w:r w:rsidR="00E55C3C" w:rsidRPr="00CC2883">
        <w:rPr>
          <w:color w:val="000000" w:themeColor="text1"/>
        </w:rPr>
        <w:t>правових актах</w:t>
      </w:r>
      <w:r w:rsidRPr="00CC2883">
        <w:rPr>
          <w:color w:val="000000" w:themeColor="text1"/>
        </w:rPr>
        <w:t>.</w:t>
      </w:r>
    </w:p>
    <w:p w14:paraId="77D57D39" w14:textId="77777777" w:rsidR="00FF5C20" w:rsidRPr="00CC2883" w:rsidRDefault="00FF5C20">
      <w:pPr>
        <w:pStyle w:val="afc"/>
        <w:shd w:val="clear" w:color="auto" w:fill="FFFFFF"/>
        <w:tabs>
          <w:tab w:val="left" w:pos="1134"/>
        </w:tabs>
        <w:ind w:left="0"/>
        <w:rPr>
          <w:color w:val="000000" w:themeColor="text1"/>
        </w:rPr>
      </w:pPr>
    </w:p>
    <w:p w14:paraId="5431F3C2" w14:textId="77777777" w:rsidR="00FF5C20" w:rsidRPr="00CC2883" w:rsidRDefault="0023702F">
      <w:pPr>
        <w:pStyle w:val="afc"/>
        <w:numPr>
          <w:ilvl w:val="0"/>
          <w:numId w:val="1"/>
        </w:numPr>
        <w:shd w:val="clear" w:color="auto" w:fill="FFFFFF"/>
        <w:tabs>
          <w:tab w:val="left" w:pos="1134"/>
        </w:tabs>
        <w:ind w:left="0"/>
        <w:rPr>
          <w:color w:val="000000" w:themeColor="text1"/>
        </w:rPr>
      </w:pPr>
      <w:r w:rsidRPr="00CC2883">
        <w:rPr>
          <w:color w:val="000000" w:themeColor="text1"/>
        </w:rPr>
        <w:t xml:space="preserve">Дія цього Положення поширюється на небанківські фінансові установи, які мають одну з ліцензій (далі – гаранти): </w:t>
      </w:r>
    </w:p>
    <w:p w14:paraId="1B6143A7" w14:textId="77777777" w:rsidR="00FF5C20" w:rsidRPr="00CC2883" w:rsidRDefault="00FF5C20">
      <w:pPr>
        <w:shd w:val="clear" w:color="auto" w:fill="FFFFFF"/>
        <w:tabs>
          <w:tab w:val="left" w:pos="1134"/>
        </w:tabs>
        <w:rPr>
          <w:color w:val="000000" w:themeColor="text1"/>
        </w:rPr>
      </w:pPr>
    </w:p>
    <w:p w14:paraId="7D6D1FE7" w14:textId="77777777" w:rsidR="00FF5C20" w:rsidRPr="00CC2883" w:rsidRDefault="0023702F">
      <w:pPr>
        <w:pStyle w:val="afd"/>
        <w:numPr>
          <w:ilvl w:val="0"/>
          <w:numId w:val="4"/>
        </w:numPr>
        <w:ind w:left="0" w:firstLine="709"/>
        <w:rPr>
          <w:color w:val="000000" w:themeColor="text1"/>
        </w:rPr>
      </w:pPr>
      <w:r w:rsidRPr="00CC2883">
        <w:rPr>
          <w:color w:val="000000" w:themeColor="text1"/>
          <w:sz w:val="28"/>
          <w:szCs w:val="28"/>
        </w:rPr>
        <w:t>ліцензію на провадження господарської діяльності з надання фінансових послуг (крім професійної діяльності на ринку цінних паперів), а саме на надання гарантій та поручительств, видану Національною</w:t>
      </w:r>
      <w:r w:rsidRPr="00CC2883">
        <w:rPr>
          <w:color w:val="000000" w:themeColor="text1"/>
          <w:sz w:val="28"/>
          <w:szCs w:val="28"/>
          <w:shd w:val="clear" w:color="auto" w:fill="FFFFFF"/>
        </w:rPr>
        <w:t xml:space="preserve"> комісією, що здійснює державне регулювання у сфері ринків фінансових послуг,</w:t>
      </w:r>
      <w:r w:rsidRPr="00CC2883">
        <w:rPr>
          <w:color w:val="000000" w:themeColor="text1"/>
          <w:sz w:val="28"/>
          <w:szCs w:val="28"/>
        </w:rPr>
        <w:t xml:space="preserve"> яка з 01 липня 2020 року вважається переоформленою відповідно до абзацу четвертого пункту 10 розділу ІІ Закону України від 12 вересня 2019 року № 79-IX “Про внесення змін до деяких законодавчих актів України щодо удосконалення функцій із державного регулювання ринків фінансових послуг” на ліцензію на провадження господарської діяльності з надання фінансових послуг (крім професійної діяльності на ринку цінних паперів) на послуги надання гарантій; </w:t>
      </w:r>
    </w:p>
    <w:p w14:paraId="5E6DD0A2" w14:textId="77777777" w:rsidR="00FF5C20" w:rsidRPr="00CC2883" w:rsidRDefault="00FF5C20">
      <w:pPr>
        <w:pStyle w:val="afc"/>
        <w:shd w:val="clear" w:color="auto" w:fill="FFFFFF"/>
        <w:tabs>
          <w:tab w:val="left" w:pos="1134"/>
        </w:tabs>
        <w:ind w:left="0"/>
        <w:rPr>
          <w:color w:val="000000" w:themeColor="text1"/>
        </w:rPr>
      </w:pPr>
    </w:p>
    <w:p w14:paraId="35E9D076" w14:textId="77777777" w:rsidR="00FF5C20" w:rsidRPr="00CC2883" w:rsidRDefault="0023702F">
      <w:pPr>
        <w:pStyle w:val="afd"/>
        <w:numPr>
          <w:ilvl w:val="0"/>
          <w:numId w:val="4"/>
        </w:numPr>
        <w:ind w:left="0" w:firstLine="709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ліцензію на провадження господарської діяльності з надання фінансових послуг (крім професійної діяльності на ринку цінних паперів), а саме на надання гарантій, або ліцензію на провадження діяльності з надання фінансових послуг, а саме на надання гарантій, видану Національним банком України (далі – Національний банк) з 01 липня 2020 року.</w:t>
      </w:r>
    </w:p>
    <w:p w14:paraId="65EF1123" w14:textId="77777777" w:rsidR="00FF5C20" w:rsidRPr="00CC2883" w:rsidRDefault="00FF5C20">
      <w:pPr>
        <w:pStyle w:val="afc"/>
        <w:shd w:val="clear" w:color="auto" w:fill="FFFFFF"/>
        <w:tabs>
          <w:tab w:val="left" w:pos="1134"/>
        </w:tabs>
        <w:ind w:left="0"/>
        <w:rPr>
          <w:color w:val="000000" w:themeColor="text1"/>
        </w:rPr>
      </w:pPr>
    </w:p>
    <w:p w14:paraId="1F71567D" w14:textId="77777777" w:rsidR="00FF5C20" w:rsidRPr="00CC2883" w:rsidRDefault="0023702F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Це Положення встановлює обов’язкові економічні нормативи, що є обов’язковими до виконання всіма гарантами (далі – обов’язкові нормативи), і порядок їх розрахунку, а також інші вимоги, що обмежують ризики гарантів за операціями з фінансовими активами.</w:t>
      </w:r>
    </w:p>
    <w:p w14:paraId="5A0FCD07" w14:textId="77777777" w:rsidR="00FF5C20" w:rsidRPr="00CC2883" w:rsidRDefault="00FF5C20">
      <w:pPr>
        <w:rPr>
          <w:color w:val="000000" w:themeColor="text1"/>
        </w:rPr>
      </w:pPr>
      <w:bookmarkStart w:id="6" w:name="n24"/>
      <w:bookmarkStart w:id="7" w:name="n23"/>
      <w:bookmarkStart w:id="8" w:name="n28"/>
      <w:bookmarkEnd w:id="6"/>
      <w:bookmarkEnd w:id="7"/>
      <w:bookmarkEnd w:id="8"/>
    </w:p>
    <w:p w14:paraId="2B397AA8" w14:textId="77777777" w:rsidR="00FF5C20" w:rsidRPr="00CC2883" w:rsidRDefault="0023702F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 xml:space="preserve">Гарант зобов’язаний виконувати обов’язкові нормативи щодня, станом на будь-яку дату. </w:t>
      </w:r>
    </w:p>
    <w:p w14:paraId="57235533" w14:textId="77777777" w:rsidR="00FF5C20" w:rsidRPr="00CC2883" w:rsidRDefault="0023702F">
      <w:pPr>
        <w:pStyle w:val="afd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lastRenderedPageBreak/>
        <w:t>Порушення гарантом нормативного значення обов'язкового нормативу станом на будь-який робочий день є невиконанням гарантом обов'язкового нормативу.</w:t>
      </w:r>
    </w:p>
    <w:p w14:paraId="01885B06" w14:textId="7EDD317D" w:rsidR="00FF5C20" w:rsidRPr="00CC2883" w:rsidRDefault="00A84959">
      <w:pPr>
        <w:pStyle w:val="afd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  <w:shd w:val="clear" w:color="auto" w:fill="FFFFFF"/>
        </w:rPr>
        <w:t>Національни</w:t>
      </w:r>
      <w:r w:rsidR="002354D6" w:rsidRPr="00CC2883">
        <w:rPr>
          <w:color w:val="000000" w:themeColor="text1"/>
          <w:sz w:val="28"/>
          <w:szCs w:val="28"/>
          <w:shd w:val="clear" w:color="auto" w:fill="FFFFFF"/>
        </w:rPr>
        <w:t>й</w:t>
      </w:r>
      <w:r w:rsidRPr="00CC2883">
        <w:rPr>
          <w:color w:val="000000" w:themeColor="text1"/>
          <w:sz w:val="28"/>
          <w:szCs w:val="28"/>
          <w:shd w:val="clear" w:color="auto" w:fill="FFFFFF"/>
        </w:rPr>
        <w:t xml:space="preserve"> банк </w:t>
      </w:r>
      <w:r w:rsidR="00580D2E" w:rsidRPr="00CC2883">
        <w:rPr>
          <w:color w:val="000000" w:themeColor="text1"/>
          <w:sz w:val="28"/>
          <w:szCs w:val="28"/>
          <w:shd w:val="clear" w:color="auto" w:fill="FFFFFF"/>
        </w:rPr>
        <w:t xml:space="preserve">має право </w:t>
      </w:r>
      <w:r w:rsidRPr="00CC2883">
        <w:rPr>
          <w:color w:val="000000" w:themeColor="text1"/>
          <w:sz w:val="28"/>
          <w:szCs w:val="28"/>
          <w:shd w:val="clear" w:color="auto" w:fill="FFFFFF"/>
        </w:rPr>
        <w:t>розгля</w:t>
      </w:r>
      <w:r w:rsidR="00580D2E" w:rsidRPr="00CC2883">
        <w:rPr>
          <w:color w:val="000000" w:themeColor="text1"/>
          <w:sz w:val="28"/>
          <w:szCs w:val="28"/>
          <w:shd w:val="clear" w:color="auto" w:fill="FFFFFF"/>
        </w:rPr>
        <w:t>нути</w:t>
      </w:r>
      <w:r w:rsidRPr="00CC2883">
        <w:rPr>
          <w:color w:val="000000" w:themeColor="text1"/>
          <w:sz w:val="28"/>
          <w:szCs w:val="28"/>
          <w:shd w:val="clear" w:color="auto" w:fill="FFFFFF"/>
        </w:rPr>
        <w:t xml:space="preserve"> питання щодо застосовування </w:t>
      </w:r>
      <w:r w:rsidR="00367918" w:rsidRPr="00CC2883">
        <w:rPr>
          <w:color w:val="000000" w:themeColor="text1"/>
          <w:sz w:val="28"/>
          <w:szCs w:val="28"/>
          <w:shd w:val="clear" w:color="auto" w:fill="FFFFFF"/>
        </w:rPr>
        <w:t xml:space="preserve">до гаранта </w:t>
      </w:r>
      <w:r w:rsidRPr="00CC2883">
        <w:rPr>
          <w:color w:val="000000" w:themeColor="text1"/>
          <w:sz w:val="28"/>
          <w:szCs w:val="28"/>
          <w:shd w:val="clear" w:color="auto" w:fill="FFFFFF"/>
        </w:rPr>
        <w:t>заходів впливу згідно зі статтею 40 Закону про фінансові послуги та відповідним нормативно-правовим актом Національного банку з питань застосування заходів впливу</w:t>
      </w:r>
      <w:r w:rsidR="00F574D3" w:rsidRPr="00CC2883">
        <w:rPr>
          <w:color w:val="000000" w:themeColor="text1"/>
          <w:sz w:val="28"/>
          <w:szCs w:val="28"/>
          <w:shd w:val="clear" w:color="auto" w:fill="FFFFFF"/>
        </w:rPr>
        <w:t xml:space="preserve"> у разі, якщо за результатами безвиїзного нагляду або інспекційної перевірки встановлено факти невиконання гарантом </w:t>
      </w:r>
      <w:r w:rsidR="00F574D3" w:rsidRPr="00CC2883">
        <w:rPr>
          <w:color w:val="000000" w:themeColor="text1"/>
          <w:sz w:val="28"/>
          <w:szCs w:val="28"/>
        </w:rPr>
        <w:t xml:space="preserve">обов’язкових </w:t>
      </w:r>
      <w:r w:rsidR="00F574D3" w:rsidRPr="00CC2883">
        <w:rPr>
          <w:color w:val="000000" w:themeColor="text1"/>
          <w:sz w:val="28"/>
          <w:szCs w:val="28"/>
          <w:shd w:val="clear" w:color="auto" w:fill="FFFFFF"/>
        </w:rPr>
        <w:t>нормативів</w:t>
      </w:r>
      <w:r w:rsidR="0023702F" w:rsidRPr="00CC2883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97DD606" w14:textId="27E45BF1" w:rsidR="00FF5C20" w:rsidRPr="00CC2883" w:rsidRDefault="00FF5C20">
      <w:pPr>
        <w:pStyle w:val="afd"/>
        <w:rPr>
          <w:color w:val="000000" w:themeColor="text1"/>
          <w:sz w:val="28"/>
          <w:szCs w:val="28"/>
        </w:rPr>
      </w:pPr>
    </w:p>
    <w:p w14:paraId="2B886824" w14:textId="77777777" w:rsidR="00FF5C20" w:rsidRPr="00CC2883" w:rsidRDefault="0023702F">
      <w:pPr>
        <w:pStyle w:val="afd"/>
        <w:numPr>
          <w:ilvl w:val="0"/>
          <w:numId w:val="1"/>
        </w:numPr>
        <w:ind w:left="0"/>
        <w:rPr>
          <w:color w:val="000000" w:themeColor="text1"/>
        </w:rPr>
      </w:pPr>
      <w:r w:rsidRPr="00CC2883">
        <w:rPr>
          <w:color w:val="000000" w:themeColor="text1"/>
          <w:sz w:val="28"/>
          <w:szCs w:val="28"/>
        </w:rPr>
        <w:t>Гарант  зобов’язаний мати затверджену виконавчим органом (за відсутності виконавчого органу - іншою посадовою особою, яка здійснює керівництво гарантом відповідно до законодавства України та установчих документів), внутрішню методику (положення) оцінювання суттєвих ризиків, притаманних діяльності з надання гарантій, а також застосовувати ефективні процедури своєчасного виявлення, оцінки, моніторингу, контролю та управління зазначеними ризиками.</w:t>
      </w:r>
    </w:p>
    <w:p w14:paraId="2B0FFD41" w14:textId="77777777" w:rsidR="00FF5C20" w:rsidRPr="00CC2883" w:rsidRDefault="00FF5C20">
      <w:pPr>
        <w:pStyle w:val="afd"/>
        <w:ind w:left="709" w:firstLine="0"/>
        <w:rPr>
          <w:color w:val="000000" w:themeColor="text1"/>
          <w:sz w:val="28"/>
          <w:szCs w:val="28"/>
        </w:rPr>
      </w:pPr>
    </w:p>
    <w:p w14:paraId="1F7367BA" w14:textId="1B125D57" w:rsidR="00FF5C20" w:rsidRPr="00CC2883" w:rsidRDefault="00A84959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Г</w:t>
      </w:r>
      <w:r w:rsidR="0023702F" w:rsidRPr="00CC2883">
        <w:rPr>
          <w:color w:val="000000" w:themeColor="text1"/>
          <w:sz w:val="28"/>
          <w:szCs w:val="28"/>
        </w:rPr>
        <w:t xml:space="preserve">аранти зобов’язані надавати Національному банку </w:t>
      </w:r>
      <w:r w:rsidR="0023702F" w:rsidRPr="00CC2883">
        <w:rPr>
          <w:color w:val="000000" w:themeColor="text1"/>
          <w:sz w:val="28"/>
          <w:szCs w:val="28"/>
          <w:shd w:val="clear" w:color="auto" w:fill="FFFFFF"/>
        </w:rPr>
        <w:t xml:space="preserve">інформацію/пояснення/документи/копії документів щодо </w:t>
      </w:r>
      <w:r w:rsidR="0023702F" w:rsidRPr="00CC2883">
        <w:rPr>
          <w:color w:val="000000" w:themeColor="text1"/>
          <w:sz w:val="28"/>
          <w:szCs w:val="28"/>
        </w:rPr>
        <w:t>розрахунку обов'язкових нормативів та/або про дотримання гарантом інших вимог цього Положення згідно зі статтею 57 Закону України “Про Національний банк України”, статтями 29 та 30 Закону про фінансові послуги у порядку, встановленому нормативно-правовими актами Національного банку з питань здійснення Національним банком безвиїзного нагляду на ринках небанківських фінансових послуг або з питань</w:t>
      </w:r>
      <w:r w:rsidR="0023702F" w:rsidRPr="00CC2883">
        <w:rPr>
          <w:color w:val="000000" w:themeColor="text1"/>
          <w:sz w:val="28"/>
          <w:szCs w:val="28"/>
          <w:shd w:val="clear" w:color="auto" w:fill="FFFFFF"/>
        </w:rPr>
        <w:t xml:space="preserve"> проведення інспекційних перевірок діяльності учасників ринків небанківських фінансових послуг</w:t>
      </w:r>
      <w:r w:rsidR="0023702F" w:rsidRPr="00CC2883">
        <w:rPr>
          <w:color w:val="000000" w:themeColor="text1"/>
          <w:sz w:val="28"/>
          <w:szCs w:val="28"/>
        </w:rPr>
        <w:t>.</w:t>
      </w:r>
    </w:p>
    <w:p w14:paraId="295F1E7E" w14:textId="77777777" w:rsidR="00FF5C20" w:rsidRPr="00CC2883" w:rsidRDefault="00FF5C20">
      <w:pPr>
        <w:pStyle w:val="afd"/>
        <w:rPr>
          <w:color w:val="000000" w:themeColor="text1"/>
          <w:sz w:val="28"/>
          <w:szCs w:val="28"/>
        </w:rPr>
      </w:pPr>
    </w:p>
    <w:p w14:paraId="41218C09" w14:textId="77777777" w:rsidR="00FF5C20" w:rsidRPr="00CC2883" w:rsidRDefault="0023702F">
      <w:pPr>
        <w:pStyle w:val="afd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 xml:space="preserve">Гарант для надання Національному банку інформації/пояснень/документів/копії документів згідно з пунктом 7 розділу І цього Положення розраховує обов'язкові нормативи на підставі </w:t>
      </w:r>
      <w:r w:rsidRPr="00CC2883">
        <w:rPr>
          <w:color w:val="000000" w:themeColor="text1"/>
          <w:sz w:val="28"/>
          <w:szCs w:val="28"/>
          <w:shd w:val="clear" w:color="auto" w:fill="FFFFFF"/>
        </w:rPr>
        <w:t xml:space="preserve">даних бухгалтерського обліку, облікової та реєструючої систем гаранта станом </w:t>
      </w:r>
      <w:r w:rsidRPr="00CC2883">
        <w:rPr>
          <w:color w:val="000000" w:themeColor="text1"/>
          <w:sz w:val="28"/>
          <w:szCs w:val="28"/>
        </w:rPr>
        <w:t xml:space="preserve">на дату розрахунку обов'язкових нормативів, що зазначена у письмовій вимозі Національного банку, складеній згідно з вимогами нормативно-правових актів Національного банку з питань здійснення Національним банком безвиїзного нагляду на ринках небанківських фінансових послуг або з питань </w:t>
      </w:r>
      <w:r w:rsidRPr="00CC2883">
        <w:rPr>
          <w:color w:val="000000" w:themeColor="text1"/>
          <w:sz w:val="28"/>
          <w:szCs w:val="28"/>
          <w:shd w:val="clear" w:color="auto" w:fill="FFFFFF"/>
        </w:rPr>
        <w:t>проведення інспекційних перевірок діяльності учасників ринків небанківських фінансових послуг</w:t>
      </w:r>
      <w:r w:rsidRPr="00CC2883">
        <w:rPr>
          <w:color w:val="000000" w:themeColor="text1"/>
          <w:sz w:val="28"/>
          <w:szCs w:val="28"/>
        </w:rPr>
        <w:t>.</w:t>
      </w:r>
    </w:p>
    <w:p w14:paraId="3F05FAF4" w14:textId="77777777" w:rsidR="00FF5C20" w:rsidRPr="00CC2883" w:rsidRDefault="00FF5C20">
      <w:pPr>
        <w:shd w:val="clear" w:color="auto" w:fill="FFFFFF"/>
        <w:tabs>
          <w:tab w:val="left" w:pos="851"/>
        </w:tabs>
        <w:rPr>
          <w:color w:val="000000" w:themeColor="text1"/>
        </w:rPr>
      </w:pPr>
      <w:bookmarkStart w:id="9" w:name="n53"/>
      <w:bookmarkEnd w:id="9"/>
    </w:p>
    <w:p w14:paraId="637939A1" w14:textId="017ACB36" w:rsidR="00FF5C20" w:rsidRPr="00CC2883" w:rsidRDefault="00A84959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 xml:space="preserve">Гаранти за </w:t>
      </w:r>
      <w:r w:rsidR="0023702F" w:rsidRPr="00CC2883">
        <w:rPr>
          <w:color w:val="000000" w:themeColor="text1"/>
          <w:sz w:val="28"/>
          <w:szCs w:val="28"/>
        </w:rPr>
        <w:t xml:space="preserve">надання Національному банку недостовірної інформації щодо розрахунку обов'язкових нормативів та/або щодо дотримання вимог цього </w:t>
      </w:r>
      <w:r w:rsidR="0023702F" w:rsidRPr="00CC2883">
        <w:rPr>
          <w:color w:val="000000" w:themeColor="text1"/>
          <w:sz w:val="28"/>
          <w:szCs w:val="28"/>
        </w:rPr>
        <w:lastRenderedPageBreak/>
        <w:t>Положення несуть відповідальність згідно з вимогами чинного законодавства України.</w:t>
      </w:r>
    </w:p>
    <w:p w14:paraId="3CA4D145" w14:textId="77777777" w:rsidR="00FF5C20" w:rsidRPr="00CC2883" w:rsidRDefault="00FF5C20">
      <w:pPr>
        <w:pStyle w:val="afd"/>
        <w:ind w:left="709" w:firstLine="0"/>
        <w:rPr>
          <w:color w:val="000000" w:themeColor="text1"/>
          <w:sz w:val="28"/>
          <w:szCs w:val="28"/>
        </w:rPr>
      </w:pPr>
    </w:p>
    <w:p w14:paraId="19FD209B" w14:textId="77777777" w:rsidR="00FF5C20" w:rsidRPr="00CC2883" w:rsidRDefault="0023702F">
      <w:pPr>
        <w:pStyle w:val="afc"/>
        <w:shd w:val="clear" w:color="auto" w:fill="FFFFFF"/>
        <w:ind w:left="0" w:firstLine="0"/>
        <w:jc w:val="center"/>
        <w:outlineLvl w:val="0"/>
        <w:rPr>
          <w:rFonts w:eastAsia="Calibri"/>
          <w:color w:val="000000" w:themeColor="text1"/>
        </w:rPr>
      </w:pPr>
      <w:r w:rsidRPr="00CC2883">
        <w:rPr>
          <w:rFonts w:eastAsia="Calibri"/>
          <w:color w:val="000000" w:themeColor="text1"/>
        </w:rPr>
        <w:t>II. Обов’язкові нормативи</w:t>
      </w:r>
    </w:p>
    <w:p w14:paraId="1ED89A4D" w14:textId="77777777" w:rsidR="00FF5C20" w:rsidRPr="00CC2883" w:rsidRDefault="00FF5C20">
      <w:pPr>
        <w:shd w:val="clear" w:color="auto" w:fill="FFFFFF"/>
        <w:tabs>
          <w:tab w:val="left" w:pos="851"/>
        </w:tabs>
        <w:ind w:left="450" w:right="450"/>
        <w:jc w:val="center"/>
        <w:rPr>
          <w:color w:val="000000" w:themeColor="text1"/>
        </w:rPr>
      </w:pPr>
    </w:p>
    <w:p w14:paraId="76A43417" w14:textId="77777777" w:rsidR="00FF5C20" w:rsidRPr="00CC2883" w:rsidRDefault="0023702F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Гарант зобов’язаний виконувати такі обов’язкові нормативи:</w:t>
      </w:r>
    </w:p>
    <w:p w14:paraId="146F586F" w14:textId="77777777" w:rsidR="00FF5C20" w:rsidRPr="00CC2883" w:rsidRDefault="00FF5C20">
      <w:pPr>
        <w:pStyle w:val="afc"/>
        <w:shd w:val="clear" w:color="auto" w:fill="FFFFFF"/>
        <w:tabs>
          <w:tab w:val="left" w:pos="993"/>
        </w:tabs>
        <w:ind w:left="0"/>
        <w:rPr>
          <w:color w:val="000000" w:themeColor="text1"/>
          <w:highlight w:val="white"/>
        </w:rPr>
      </w:pPr>
    </w:p>
    <w:p w14:paraId="0EA05A64" w14:textId="77777777" w:rsidR="00FF5C20" w:rsidRPr="00CC2883" w:rsidRDefault="0023702F">
      <w:pPr>
        <w:pStyle w:val="afc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</w:rPr>
      </w:pPr>
      <w:r w:rsidRPr="00CC2883">
        <w:rPr>
          <w:color w:val="000000" w:themeColor="text1"/>
        </w:rPr>
        <w:t>норматив достатності (адекватності) капіталу (Н1);</w:t>
      </w:r>
    </w:p>
    <w:p w14:paraId="38B86D6B" w14:textId="77777777" w:rsidR="00FF5C20" w:rsidRPr="00CC2883" w:rsidRDefault="00FF5C20">
      <w:pPr>
        <w:pStyle w:val="afc"/>
        <w:shd w:val="clear" w:color="auto" w:fill="FFFFFF"/>
        <w:tabs>
          <w:tab w:val="left" w:pos="993"/>
        </w:tabs>
        <w:ind w:left="0"/>
        <w:rPr>
          <w:color w:val="000000" w:themeColor="text1"/>
        </w:rPr>
      </w:pPr>
    </w:p>
    <w:p w14:paraId="164A7977" w14:textId="77777777" w:rsidR="00FF5C20" w:rsidRPr="00CC2883" w:rsidRDefault="0023702F">
      <w:pPr>
        <w:pStyle w:val="afc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</w:rPr>
      </w:pPr>
      <w:bookmarkStart w:id="10" w:name="n30"/>
      <w:bookmarkStart w:id="11" w:name="n29"/>
      <w:bookmarkEnd w:id="10"/>
      <w:bookmarkEnd w:id="11"/>
      <w:r w:rsidRPr="00CC2883">
        <w:rPr>
          <w:color w:val="000000" w:themeColor="text1"/>
        </w:rPr>
        <w:t>норматив максимального ризику на одну особу (Н2);</w:t>
      </w:r>
    </w:p>
    <w:p w14:paraId="42228AAB" w14:textId="77777777" w:rsidR="00FF5C20" w:rsidRPr="00CC2883" w:rsidRDefault="00FF5C20">
      <w:pPr>
        <w:pStyle w:val="afc"/>
        <w:ind w:left="0"/>
        <w:rPr>
          <w:color w:val="000000" w:themeColor="text1"/>
        </w:rPr>
      </w:pPr>
    </w:p>
    <w:p w14:paraId="422EA40D" w14:textId="77777777" w:rsidR="00FF5C20" w:rsidRPr="00CC2883" w:rsidRDefault="0023702F">
      <w:pPr>
        <w:pStyle w:val="afc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</w:rPr>
      </w:pPr>
      <w:r w:rsidRPr="00CC2883">
        <w:rPr>
          <w:color w:val="000000" w:themeColor="text1"/>
        </w:rPr>
        <w:t>норматив максимального ризику на групу пов’язаних осіб (Н3);</w:t>
      </w:r>
    </w:p>
    <w:p w14:paraId="12587013" w14:textId="77777777" w:rsidR="00FF5C20" w:rsidRPr="00CC2883" w:rsidRDefault="00FF5C20">
      <w:pPr>
        <w:pStyle w:val="afc"/>
        <w:ind w:left="0"/>
        <w:rPr>
          <w:color w:val="000000" w:themeColor="text1"/>
        </w:rPr>
      </w:pPr>
    </w:p>
    <w:p w14:paraId="65D04B36" w14:textId="77777777" w:rsidR="00FF5C20" w:rsidRPr="00CC2883" w:rsidRDefault="0023702F">
      <w:pPr>
        <w:pStyle w:val="afc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</w:rPr>
      </w:pPr>
      <w:r w:rsidRPr="00CC2883">
        <w:rPr>
          <w:color w:val="000000" w:themeColor="text1"/>
        </w:rPr>
        <w:t>норматив великого ризику (Н4);</w:t>
      </w:r>
    </w:p>
    <w:p w14:paraId="02E24D4F" w14:textId="77777777" w:rsidR="00FF5C20" w:rsidRPr="00CC2883" w:rsidRDefault="00FF5C20">
      <w:pPr>
        <w:shd w:val="clear" w:color="auto" w:fill="FFFFFF"/>
        <w:tabs>
          <w:tab w:val="left" w:pos="993"/>
        </w:tabs>
        <w:rPr>
          <w:color w:val="000000" w:themeColor="text1"/>
        </w:rPr>
      </w:pPr>
    </w:p>
    <w:p w14:paraId="3EBC7863" w14:textId="77777777" w:rsidR="00FF5C20" w:rsidRPr="00CC2883" w:rsidRDefault="0023702F">
      <w:pPr>
        <w:pStyle w:val="afc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</w:rPr>
      </w:pPr>
      <w:r w:rsidRPr="00CC2883">
        <w:rPr>
          <w:color w:val="000000" w:themeColor="text1"/>
        </w:rPr>
        <w:t>норматив запасу ліквідності (Н5);</w:t>
      </w:r>
    </w:p>
    <w:p w14:paraId="5F6339A5" w14:textId="77777777" w:rsidR="00FF5C20" w:rsidRPr="00CC2883" w:rsidRDefault="00FF5C20">
      <w:pPr>
        <w:shd w:val="clear" w:color="auto" w:fill="FFFFFF"/>
        <w:tabs>
          <w:tab w:val="left" w:pos="993"/>
        </w:tabs>
        <w:rPr>
          <w:color w:val="000000" w:themeColor="text1"/>
        </w:rPr>
      </w:pPr>
    </w:p>
    <w:p w14:paraId="7CA74AF3" w14:textId="77777777" w:rsidR="00FF5C20" w:rsidRPr="00CC2883" w:rsidRDefault="0023702F">
      <w:pPr>
        <w:pStyle w:val="afc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</w:rPr>
      </w:pPr>
      <w:bookmarkStart w:id="12" w:name="n31"/>
      <w:bookmarkEnd w:id="12"/>
      <w:r w:rsidRPr="00CC2883">
        <w:rPr>
          <w:color w:val="000000" w:themeColor="text1"/>
        </w:rPr>
        <w:t>норматив якості активів (Н6).</w:t>
      </w:r>
    </w:p>
    <w:p w14:paraId="38F34E94" w14:textId="77777777" w:rsidR="00FF5C20" w:rsidRPr="00CC2883" w:rsidRDefault="00FF5C20">
      <w:pPr>
        <w:shd w:val="clear" w:color="auto" w:fill="FFFFFF"/>
        <w:tabs>
          <w:tab w:val="left" w:pos="993"/>
        </w:tabs>
        <w:rPr>
          <w:color w:val="000000" w:themeColor="text1"/>
        </w:rPr>
      </w:pPr>
    </w:p>
    <w:p w14:paraId="691A58CF" w14:textId="77777777" w:rsidR="00FF5C20" w:rsidRPr="00CC2883" w:rsidRDefault="0023702F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bookmarkStart w:id="13" w:name="n32"/>
      <w:bookmarkEnd w:id="13"/>
      <w:r w:rsidRPr="00CC2883">
        <w:rPr>
          <w:color w:val="000000" w:themeColor="text1"/>
          <w:sz w:val="28"/>
          <w:szCs w:val="28"/>
        </w:rPr>
        <w:t>Норматив достатності (адекватності) капіталу (Н1) встановлюється для забезпечення своєчасного і в повному обсязі виконання гарантом своїх зобов’язань за виданими гарантіями.</w:t>
      </w:r>
    </w:p>
    <w:p w14:paraId="32CDDD42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bookmarkStart w:id="14" w:name="n33"/>
      <w:bookmarkEnd w:id="14"/>
      <w:r w:rsidRPr="00CC2883">
        <w:rPr>
          <w:color w:val="000000" w:themeColor="text1"/>
        </w:rPr>
        <w:t>Розрахунок нормативу адекватності капіталу (Н1) здійснюється за такою формулою:</w:t>
      </w:r>
    </w:p>
    <w:p w14:paraId="1EAE0193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147F1AA7" w14:textId="77777777" w:rsidR="00FF5C20" w:rsidRPr="00CC2883" w:rsidRDefault="0023702F">
      <w:pPr>
        <w:shd w:val="clear" w:color="auto" w:fill="FFFFFF"/>
        <w:ind w:firstLine="0"/>
        <w:rPr>
          <w:color w:val="000000" w:themeColor="text1"/>
        </w:rPr>
      </w:pPr>
      <m:oMathPara>
        <m:oMath>
          <m:r>
            <w:rPr>
              <w:rFonts w:ascii="Cambria Math" w:hAnsi="Cambria Math"/>
            </w:rPr>
            <m:t>Н1=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РК</m:t>
              </m:r>
            </m:num>
            <m:den>
              <m:r>
                <w:rPr>
                  <w:rFonts w:ascii="Cambria Math" w:hAnsi="Cambria Math"/>
                </w:rPr>
                <m:t>А1×0+А2×1+ЗГ</m:t>
              </m:r>
            </m:den>
          </m:f>
          <m:r>
            <w:rPr>
              <w:rFonts w:ascii="Cambria Math" w:hAnsi="Cambria Math"/>
            </w:rPr>
            <m:t>×100</m:t>
          </m:r>
          <m:r>
            <m:rPr>
              <m:lit/>
              <m:nor/>
            </m:rPr>
            <m:t>%, де:</m:t>
          </m:r>
        </m:oMath>
      </m:oMathPara>
    </w:p>
    <w:p w14:paraId="6B2E3F9F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684BB77D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1) РК - регулятивний капітал, який розраховується згідно з пунктом 12 розділу ІІ цього Положення;</w:t>
      </w:r>
    </w:p>
    <w:p w14:paraId="3BCB12A6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789734C8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2) А1 ‒ прийнятні активи;</w:t>
      </w:r>
    </w:p>
    <w:p w14:paraId="5BD0CBA0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74209369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3) А2 ‒ активи за мінусом прийнятних активів;</w:t>
      </w:r>
    </w:p>
    <w:p w14:paraId="20C41EA1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1ED7C727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 xml:space="preserve">4) ЗГ ‒ загальна сума зобов’язань за всіма видами гарантій, виданих гарантом щодо виконання обов’язку перед кредиторами </w:t>
      </w:r>
      <w:r w:rsidRPr="00CC2883">
        <w:rPr>
          <w:color w:val="000000" w:themeColor="text1"/>
          <w:shd w:val="clear" w:color="auto" w:fill="FFFFFF"/>
        </w:rPr>
        <w:t>(бенефіціарами), які обліковуються на позабалансових рахунках</w:t>
      </w:r>
      <w:r w:rsidRPr="00CC2883">
        <w:rPr>
          <w:rStyle w:val="ab"/>
          <w:color w:val="000000" w:themeColor="text1"/>
        </w:rPr>
        <w:t>.</w:t>
      </w:r>
    </w:p>
    <w:p w14:paraId="56FFF3A4" w14:textId="77777777" w:rsidR="00FF5C20" w:rsidRPr="00CC2883" w:rsidRDefault="0023702F">
      <w:pPr>
        <w:rPr>
          <w:color w:val="000000" w:themeColor="text1"/>
          <w:highlight w:val="white"/>
        </w:rPr>
      </w:pPr>
      <w:r w:rsidRPr="00CC2883">
        <w:rPr>
          <w:color w:val="000000" w:themeColor="text1"/>
        </w:rPr>
        <w:t>Нормативне значення нормативу достатності (адекватності) капіталу (Н1) має бути не менше ніж 10 відсотків.</w:t>
      </w:r>
    </w:p>
    <w:p w14:paraId="3432B791" w14:textId="77777777" w:rsidR="00FF5C20" w:rsidRPr="00CC2883" w:rsidRDefault="00FF5C20">
      <w:pPr>
        <w:shd w:val="clear" w:color="auto" w:fill="FFFFFF"/>
        <w:tabs>
          <w:tab w:val="left" w:pos="1134"/>
        </w:tabs>
        <w:rPr>
          <w:color w:val="000000" w:themeColor="text1"/>
        </w:rPr>
      </w:pPr>
    </w:p>
    <w:p w14:paraId="18B8F91D" w14:textId="77777777" w:rsidR="00FF5C20" w:rsidRPr="00CC2883" w:rsidRDefault="0023702F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Регулятивний капітал (РК) розраховується за формулою:</w:t>
      </w:r>
    </w:p>
    <w:p w14:paraId="0B39934C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3AD48235" w14:textId="77777777" w:rsidR="00FF5C20" w:rsidRPr="00CC2883" w:rsidRDefault="0023702F">
      <w:pPr>
        <w:shd w:val="clear" w:color="auto" w:fill="FFFFFF"/>
        <w:ind w:firstLine="0"/>
        <w:jc w:val="center"/>
        <w:rPr>
          <w:color w:val="000000" w:themeColor="text1"/>
        </w:rPr>
      </w:pPr>
      <m:oMath>
        <m:r>
          <w:rPr>
            <w:rFonts w:ascii="Cambria Math" w:hAnsi="Cambria Math"/>
          </w:rPr>
          <m:t>РК=ВК-ДФІ-ІФІ-Векс-НА</m:t>
        </m:r>
        <m:r>
          <m:rPr>
            <m:lit/>
            <m:nor/>
          </m:rPr>
          <m:t>, де:</m:t>
        </m:r>
      </m:oMath>
      <w:r w:rsidRPr="00CC2883">
        <w:rPr>
          <w:color w:val="000000" w:themeColor="text1"/>
        </w:rPr>
        <w:t xml:space="preserve"> </w:t>
      </w:r>
    </w:p>
    <w:p w14:paraId="0593FC8E" w14:textId="77777777" w:rsidR="00FF5C20" w:rsidRPr="00CC2883" w:rsidRDefault="00FF5C20">
      <w:pPr>
        <w:shd w:val="clear" w:color="auto" w:fill="FFFFFF"/>
        <w:jc w:val="center"/>
        <w:rPr>
          <w:color w:val="000000" w:themeColor="text1"/>
        </w:rPr>
      </w:pPr>
    </w:p>
    <w:p w14:paraId="194C8A23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1) ВК ‒ власний капітал небанківської фінансової установи - гаранта;</w:t>
      </w:r>
    </w:p>
    <w:p w14:paraId="285C1D2F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70D85DF3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2) ДФІ ‒ довгострокові фінансові інвестиції, які обліковуються за методом участі в капіталі інших підприємств;</w:t>
      </w:r>
    </w:p>
    <w:p w14:paraId="3799373A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0BE880F8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3) ІФІ ‒ інші фінансові інвестиції;</w:t>
      </w:r>
    </w:p>
    <w:p w14:paraId="71A855D9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61F26908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4) Векс ‒ векселі одержані;</w:t>
      </w:r>
    </w:p>
    <w:p w14:paraId="2BB433D8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3B35BA70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5) НА ‒ залишкова вартість нематеріальних активів.</w:t>
      </w:r>
    </w:p>
    <w:p w14:paraId="173E33C8" w14:textId="77777777" w:rsidR="00FF5C20" w:rsidRPr="00CC2883" w:rsidRDefault="00FF5C20">
      <w:pPr>
        <w:pStyle w:val="afd"/>
        <w:ind w:left="709" w:firstLine="0"/>
        <w:rPr>
          <w:color w:val="000000" w:themeColor="text1"/>
          <w:sz w:val="28"/>
          <w:szCs w:val="28"/>
        </w:rPr>
      </w:pPr>
    </w:p>
    <w:p w14:paraId="48553202" w14:textId="77777777" w:rsidR="00FF5C20" w:rsidRPr="00CC2883" w:rsidRDefault="0023702F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Норматив максимального ризику на одну особу (Н2) установлюється з метою обмеження ризиків гаранта, що виникають внаслідок невиконання принципалом зобов’язань перед гарантом.</w:t>
      </w:r>
    </w:p>
    <w:p w14:paraId="076C52F8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Розрахунок нормативу максимального ризику на одну особу</w:t>
      </w:r>
      <w:r w:rsidRPr="00CC2883">
        <w:rPr>
          <w:color w:val="000000" w:themeColor="text1"/>
          <w:sz w:val="24"/>
        </w:rPr>
        <w:t xml:space="preserve"> </w:t>
      </w:r>
      <w:r w:rsidRPr="00CC2883">
        <w:rPr>
          <w:color w:val="000000" w:themeColor="text1"/>
        </w:rPr>
        <w:t>(Н2) здійснюється за такою формулою:</w:t>
      </w:r>
    </w:p>
    <w:p w14:paraId="61B79835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5B571839" w14:textId="77777777" w:rsidR="00FF5C20" w:rsidRPr="00CC2883" w:rsidRDefault="0023702F">
      <w:pPr>
        <w:shd w:val="clear" w:color="auto" w:fill="FFFFFF"/>
        <w:ind w:firstLine="0"/>
        <w:jc w:val="center"/>
        <w:rPr>
          <w:color w:val="000000" w:themeColor="text1"/>
        </w:rPr>
      </w:pPr>
      <m:oMathPara>
        <m:oMath>
          <m:r>
            <w:rPr>
              <w:rFonts w:ascii="Cambria Math" w:hAnsi="Cambria Math"/>
            </w:rPr>
            <m:t>Н2=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ВГ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</m:d>
              <m:r>
                <w:rPr>
                  <w:rFonts w:ascii="Cambria Math" w:hAnsi="Cambria Math"/>
                </w:rPr>
                <m:t>+ЗГ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РК</m:t>
              </m:r>
            </m:den>
          </m:f>
          <m:r>
            <w:rPr>
              <w:rFonts w:ascii="Cambria Math" w:hAnsi="Cambria Math"/>
            </w:rPr>
            <m:t>×100</m:t>
          </m:r>
          <m:r>
            <m:rPr>
              <m:lit/>
              <m:nor/>
            </m:rPr>
            <m:t>%, де:</m:t>
          </m:r>
        </m:oMath>
      </m:oMathPara>
    </w:p>
    <w:p w14:paraId="37491CEC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0AE757E3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1) ВГ(о) ‒ вимоги гаранта до принципала, що включають права вимоги до принципала за:</w:t>
      </w:r>
    </w:p>
    <w:p w14:paraId="30C9BB59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наданими кредитами;</w:t>
      </w:r>
    </w:p>
    <w:p w14:paraId="1A298126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факторингом (факторинговими операціями);</w:t>
      </w:r>
    </w:p>
    <w:p w14:paraId="1C0D1982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фінансовим лізингом;</w:t>
      </w:r>
    </w:p>
    <w:p w14:paraId="1813636A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борговими цінними паперами;</w:t>
      </w:r>
    </w:p>
    <w:p w14:paraId="4A0D6E2C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дебіторською заборгованістю;</w:t>
      </w:r>
    </w:p>
    <w:p w14:paraId="0048631B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740EC378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 xml:space="preserve">2) ЗГ(о) ‒ загальна сума зобов’язань за всіма видами гарантій, виданих гарантом щодо виконання принципалом його обов’язку перед кредиторами </w:t>
      </w:r>
      <w:r w:rsidRPr="00CC2883">
        <w:rPr>
          <w:color w:val="000000" w:themeColor="text1"/>
          <w:shd w:val="clear" w:color="auto" w:fill="FFFFFF"/>
        </w:rPr>
        <w:t>(бенефіціарами), які обліковуються на позабалансових рахунках</w:t>
      </w:r>
      <w:r w:rsidRPr="00CC2883">
        <w:rPr>
          <w:color w:val="000000" w:themeColor="text1"/>
        </w:rPr>
        <w:t xml:space="preserve">; </w:t>
      </w:r>
    </w:p>
    <w:p w14:paraId="756DC96E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0FD56C56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3) РК – регулятивний капітал.</w:t>
      </w:r>
    </w:p>
    <w:p w14:paraId="09A9DDF6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Нормативне значення нормативу максимального ризику на одну особу (Н2) не має перевищувати 25 відсотків.</w:t>
      </w:r>
    </w:p>
    <w:p w14:paraId="54B4DB1E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Розрахунок нормативу максимального ризику на одну особу (Н2) не здійснюється за повʼязаними особами.</w:t>
      </w:r>
    </w:p>
    <w:p w14:paraId="3946E2F1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6F7D179B" w14:textId="77777777" w:rsidR="00FF5C20" w:rsidRPr="00CC2883" w:rsidRDefault="0023702F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lastRenderedPageBreak/>
        <w:t>Норматив максимального ризику на групу пов’язаних осіб (Н3) установлюється з метою обмеження ризиків гаранта, що виникають внаслідок невиконання групою повʼязаних осіб – контрагентів гаранта, до складу якої входить принципал, зобов’язань перед гарантом.</w:t>
      </w:r>
    </w:p>
    <w:p w14:paraId="2CFF9044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bookmarkStart w:id="15" w:name="n2136"/>
      <w:bookmarkStart w:id="16" w:name="n2135"/>
      <w:bookmarkStart w:id="17" w:name="n2134"/>
      <w:bookmarkEnd w:id="15"/>
      <w:bookmarkEnd w:id="16"/>
      <w:bookmarkEnd w:id="17"/>
      <w:r w:rsidRPr="00CC2883">
        <w:rPr>
          <w:color w:val="000000" w:themeColor="text1"/>
        </w:rPr>
        <w:t>Розрахунок нормативу максимального ризику на групу пов’язаних осіб (Н3) здійснюється за такою формулою:</w:t>
      </w:r>
    </w:p>
    <w:p w14:paraId="634E5D63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50619341" w14:textId="77777777" w:rsidR="00FF5C20" w:rsidRPr="00CC2883" w:rsidRDefault="0023702F">
      <w:pPr>
        <w:shd w:val="clear" w:color="auto" w:fill="FFFFFF"/>
        <w:ind w:firstLine="0"/>
        <w:jc w:val="center"/>
        <w:rPr>
          <w:color w:val="000000" w:themeColor="text1"/>
        </w:rPr>
      </w:pPr>
      <m:oMathPara>
        <m:oMath>
          <m:r>
            <w:rPr>
              <w:rFonts w:ascii="Cambria Math" w:hAnsi="Cambria Math"/>
            </w:rPr>
            <m:t>Н3=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ВГ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п</m:t>
                  </m:r>
                </m:e>
              </m:d>
              <m:r>
                <w:rPr>
                  <w:rFonts w:ascii="Cambria Math" w:hAnsi="Cambria Math"/>
                </w:rPr>
                <m:t>+ЗГ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п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РК</m:t>
              </m:r>
            </m:den>
          </m:f>
          <m:r>
            <w:rPr>
              <w:rFonts w:ascii="Cambria Math" w:hAnsi="Cambria Math"/>
            </w:rPr>
            <m:t>×100</m:t>
          </m:r>
          <m:r>
            <m:rPr>
              <m:lit/>
              <m:nor/>
            </m:rPr>
            <m:t>%, де:</m:t>
          </m:r>
        </m:oMath>
      </m:oMathPara>
    </w:p>
    <w:p w14:paraId="4A5AFADB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1F568006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1) ВГ(п) ‒ вимоги гаранта до групи повʼязаних осіб, що включають права вимоги до повʼязаних осіб за:</w:t>
      </w:r>
    </w:p>
    <w:p w14:paraId="6C0BCA21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наданими кредитами;</w:t>
      </w:r>
    </w:p>
    <w:p w14:paraId="5A222AF6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факторинговими операціями;</w:t>
      </w:r>
    </w:p>
    <w:p w14:paraId="3142D681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фінансовим лізингом;</w:t>
      </w:r>
    </w:p>
    <w:p w14:paraId="6B0AD3BC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борговими цінними паперами;</w:t>
      </w:r>
    </w:p>
    <w:p w14:paraId="091AC753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дебіторською заборгованістю;</w:t>
      </w:r>
    </w:p>
    <w:p w14:paraId="635D675C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115314B5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 xml:space="preserve">2) ЗГ(п) ‒ загальна сума зобов’язань за всіма видами гарантій, виданих гарантом щодо виконання групою </w:t>
      </w:r>
      <w:r w:rsidRPr="00CC2883">
        <w:rPr>
          <w:color w:val="000000" w:themeColor="text1"/>
          <w:shd w:val="clear" w:color="auto" w:fill="FFFFFF"/>
        </w:rPr>
        <w:t>пов’язаних</w:t>
      </w:r>
      <w:r w:rsidRPr="00CC2883">
        <w:rPr>
          <w:color w:val="000000" w:themeColor="text1"/>
        </w:rPr>
        <w:t xml:space="preserve"> осіб їх обов’язку перед кредиторами </w:t>
      </w:r>
      <w:r w:rsidRPr="00CC2883">
        <w:rPr>
          <w:color w:val="000000" w:themeColor="text1"/>
          <w:shd w:val="clear" w:color="auto" w:fill="FFFFFF"/>
        </w:rPr>
        <w:t>(бенефіціарами), які обліковуються на позабалансових рахунках</w:t>
      </w:r>
      <w:r w:rsidRPr="00CC2883">
        <w:rPr>
          <w:color w:val="000000" w:themeColor="text1"/>
        </w:rPr>
        <w:t>;</w:t>
      </w:r>
    </w:p>
    <w:p w14:paraId="3B4E26E4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4036C914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3) РК – регулятивний капітал.</w:t>
      </w:r>
    </w:p>
    <w:p w14:paraId="10CCCC5A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Нормативне значення нормативу максимального ризику на групу пов’язаних осіб (Н3) не має перевищувати 25 відсотків.</w:t>
      </w:r>
    </w:p>
    <w:p w14:paraId="1BC84222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6C9DD6FC" w14:textId="77777777" w:rsidR="00FF5C20" w:rsidRPr="00CC2883" w:rsidRDefault="0023702F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 xml:space="preserve">Норматив великого ризику (Н4) </w:t>
      </w:r>
      <w:r w:rsidRPr="00CC2883">
        <w:rPr>
          <w:color w:val="000000" w:themeColor="text1"/>
          <w:sz w:val="28"/>
          <w:szCs w:val="28"/>
          <w:shd w:val="clear" w:color="auto" w:fill="FFFFFF"/>
        </w:rPr>
        <w:t xml:space="preserve">установлюється з метою обмеження </w:t>
      </w:r>
      <w:r w:rsidRPr="00CC2883">
        <w:rPr>
          <w:color w:val="000000" w:themeColor="text1"/>
          <w:sz w:val="28"/>
          <w:szCs w:val="28"/>
        </w:rPr>
        <w:t xml:space="preserve">ризиків гаранта, що виникають внаслідок невиконання зобов’язань гаранта за одним </w:t>
      </w:r>
      <w:r w:rsidRPr="00CC2883">
        <w:rPr>
          <w:color w:val="000000" w:themeColor="text1"/>
          <w:sz w:val="28"/>
          <w:szCs w:val="28"/>
          <w:shd w:val="clear" w:color="auto" w:fill="FFFFFF"/>
        </w:rPr>
        <w:t>договором між гарантом та принципалом.</w:t>
      </w:r>
    </w:p>
    <w:p w14:paraId="7E4D6A12" w14:textId="77777777" w:rsidR="00FF5C20" w:rsidRPr="00CC2883" w:rsidRDefault="0023702F">
      <w:pPr>
        <w:pStyle w:val="afd"/>
        <w:widowControl w:val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Розрахунок нормативу великого ризику (Н4) здійснюється за такою формулою:</w:t>
      </w:r>
    </w:p>
    <w:p w14:paraId="7AEB1D5C" w14:textId="77777777" w:rsidR="00FF5C20" w:rsidRPr="00CC2883" w:rsidRDefault="00FF5C20">
      <w:pPr>
        <w:widowControl w:val="0"/>
        <w:shd w:val="clear" w:color="auto" w:fill="FFFFFF"/>
        <w:rPr>
          <w:color w:val="000000" w:themeColor="text1"/>
        </w:rPr>
      </w:pPr>
    </w:p>
    <w:p w14:paraId="28D2571F" w14:textId="77777777" w:rsidR="00FF5C20" w:rsidRPr="00CC2883" w:rsidRDefault="0023702F">
      <w:pPr>
        <w:widowControl w:val="0"/>
        <w:shd w:val="clear" w:color="auto" w:fill="FFFFFF"/>
        <w:ind w:firstLine="0"/>
        <w:jc w:val="center"/>
        <w:rPr>
          <w:color w:val="000000" w:themeColor="text1"/>
        </w:rPr>
      </w:pPr>
      <m:oMathPara>
        <m:oMath>
          <m:r>
            <w:rPr>
              <w:rFonts w:ascii="Cambria Math" w:hAnsi="Cambria Math"/>
            </w:rPr>
            <m:t>Н4=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ЗГ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РК</m:t>
              </m:r>
            </m:den>
          </m:f>
          <m:r>
            <w:rPr>
              <w:rFonts w:ascii="Cambria Math" w:hAnsi="Cambria Math"/>
            </w:rPr>
            <m:t>×100</m:t>
          </m:r>
          <m:r>
            <m:rPr>
              <m:lit/>
              <m:nor/>
            </m:rPr>
            <m:t>%, де:</m:t>
          </m:r>
        </m:oMath>
      </m:oMathPara>
    </w:p>
    <w:p w14:paraId="28650E1D" w14:textId="77777777" w:rsidR="00FF5C20" w:rsidRPr="00CC2883" w:rsidRDefault="00FF5C20">
      <w:pPr>
        <w:widowControl w:val="0"/>
        <w:shd w:val="clear" w:color="auto" w:fill="FFFFFF"/>
        <w:ind w:left="709" w:firstLine="0"/>
        <w:rPr>
          <w:color w:val="000000" w:themeColor="text1"/>
        </w:rPr>
      </w:pPr>
    </w:p>
    <w:p w14:paraId="47DB3DCF" w14:textId="77777777" w:rsidR="00FF5C20" w:rsidRPr="00CC2883" w:rsidRDefault="0023702F">
      <w:pPr>
        <w:pStyle w:val="afd"/>
        <w:widowControl w:val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1) ЗГ(д) ‒ загальна сума зобов'язань за всіма видами гарантій, виданих гарантом за одним договором гарантії та/або групою таких договорів щодо одного і того ж принципала, незалежно від того, обліковуються такі гарантії на балансі гаранта чи на позабалансових рахунках;</w:t>
      </w:r>
    </w:p>
    <w:p w14:paraId="40DF0EC8" w14:textId="77777777" w:rsidR="00FF5C20" w:rsidRPr="00CC2883" w:rsidRDefault="00FF5C20">
      <w:pPr>
        <w:pStyle w:val="afd"/>
        <w:widowControl w:val="0"/>
        <w:rPr>
          <w:color w:val="000000" w:themeColor="text1"/>
        </w:rPr>
      </w:pPr>
    </w:p>
    <w:p w14:paraId="4846EDAA" w14:textId="77777777" w:rsidR="00FF5C20" w:rsidRPr="00CC2883" w:rsidRDefault="0023702F">
      <w:pPr>
        <w:widowControl w:val="0"/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2) РК – регулятивний капітал.</w:t>
      </w:r>
    </w:p>
    <w:p w14:paraId="641878E2" w14:textId="77777777" w:rsidR="00FF5C20" w:rsidRPr="00CC2883" w:rsidRDefault="0023702F">
      <w:pPr>
        <w:pStyle w:val="afd"/>
        <w:widowControl w:val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Нормативне значення нормативу великого ризику (Н4) не має перевищувати 25 відсотків.</w:t>
      </w:r>
    </w:p>
    <w:p w14:paraId="19E2660C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1D719C13" w14:textId="77777777" w:rsidR="00FF5C20" w:rsidRPr="00CC2883" w:rsidRDefault="0023702F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Норматив запасу ліквідності (Н5) встановлюється для забезпечення постійного управління ліквідністю з підтриманням її на достатньому рівні для своєчасного виконання гарантом всіх прийнятих на себе зобов’язань.</w:t>
      </w:r>
    </w:p>
    <w:p w14:paraId="2A7D43D8" w14:textId="77777777" w:rsidR="00FF5C20" w:rsidRPr="00CC2883" w:rsidRDefault="0023702F">
      <w:pPr>
        <w:pStyle w:val="afd"/>
        <w:rPr>
          <w:color w:val="000000" w:themeColor="text1"/>
          <w:sz w:val="28"/>
          <w:szCs w:val="28"/>
        </w:rPr>
      </w:pPr>
      <w:bookmarkStart w:id="18" w:name="n50"/>
      <w:bookmarkStart w:id="19" w:name="n49"/>
      <w:bookmarkStart w:id="20" w:name="n48"/>
      <w:bookmarkEnd w:id="18"/>
      <w:bookmarkEnd w:id="19"/>
      <w:bookmarkEnd w:id="20"/>
      <w:r w:rsidRPr="00CC2883">
        <w:rPr>
          <w:color w:val="000000" w:themeColor="text1"/>
          <w:sz w:val="28"/>
          <w:szCs w:val="28"/>
        </w:rPr>
        <w:t>Розрахунок нормативу запасу ліквідності (Н5) здійснюється за такою формулою:</w:t>
      </w:r>
    </w:p>
    <w:p w14:paraId="22A07F20" w14:textId="77777777" w:rsidR="00FF5C20" w:rsidRPr="00CC2883" w:rsidRDefault="00FF5C20">
      <w:pPr>
        <w:pStyle w:val="afd"/>
        <w:rPr>
          <w:color w:val="000000" w:themeColor="text1"/>
          <w:sz w:val="28"/>
          <w:szCs w:val="28"/>
        </w:rPr>
      </w:pPr>
    </w:p>
    <w:p w14:paraId="0239B74F" w14:textId="77777777" w:rsidR="00FF5C20" w:rsidRPr="00CC2883" w:rsidRDefault="0023702F">
      <w:pPr>
        <w:pStyle w:val="afd"/>
        <w:rPr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Н5=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ГК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ПЗЗ+ЗГ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</m:t>
          </m:r>
          <m:r>
            <m:rPr>
              <m:lit/>
              <m:nor/>
            </m:rPr>
            <w:rPr>
              <w:sz w:val="28"/>
              <w:szCs w:val="28"/>
            </w:rPr>
            <m:t>%, де:</m:t>
          </m:r>
        </m:oMath>
      </m:oMathPara>
    </w:p>
    <w:p w14:paraId="7B3A0C84" w14:textId="77777777" w:rsidR="00FF5C20" w:rsidRPr="00CC2883" w:rsidRDefault="00FF5C20">
      <w:pPr>
        <w:pStyle w:val="afd"/>
        <w:rPr>
          <w:color w:val="000000" w:themeColor="text1"/>
          <w:sz w:val="28"/>
          <w:szCs w:val="28"/>
        </w:rPr>
      </w:pPr>
    </w:p>
    <w:p w14:paraId="7CFF1458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1) ГК ‒ грошові кошти та їх еквіваленти (за виключенням грошових коштів на рахунках у банках, що віднесені до категорії неплатоспроможних);</w:t>
      </w:r>
    </w:p>
    <w:p w14:paraId="60BC7691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391D8998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2) ПЗЗ ‒ поточні зобов’язання і забезпечення;</w:t>
      </w:r>
    </w:p>
    <w:p w14:paraId="3D345BCB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1CB250D7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 xml:space="preserve">3) ЗГ ‒ загальна сума зобов’язань за всіма видами гарантій, виданих гарантом щодо виконання обов’язку перед кредиторами </w:t>
      </w:r>
      <w:r w:rsidRPr="00CC2883">
        <w:rPr>
          <w:color w:val="000000" w:themeColor="text1"/>
          <w:shd w:val="clear" w:color="auto" w:fill="FFFFFF"/>
        </w:rPr>
        <w:t>(бенефіціарами), які обліковуються на позабалансових рахунках</w:t>
      </w:r>
      <w:r w:rsidRPr="00CC2883">
        <w:rPr>
          <w:color w:val="000000" w:themeColor="text1"/>
        </w:rPr>
        <w:t>.</w:t>
      </w:r>
    </w:p>
    <w:p w14:paraId="7FD416A0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Для розрахунку нормативу запасу ліквідності (Н5) у показнику ГК не враховуються грошові кошти на рахунках у банках, що віднесені до категорії неплатоспроможних.</w:t>
      </w:r>
    </w:p>
    <w:p w14:paraId="0675061E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Нормативне значення нормативу запасу ліквідності (Н5) має бути не менше ніж 10 відсотків.</w:t>
      </w:r>
      <w:bookmarkStart w:id="21" w:name="n55"/>
      <w:bookmarkEnd w:id="21"/>
    </w:p>
    <w:p w14:paraId="52786877" w14:textId="77777777" w:rsidR="00FF5C20" w:rsidRPr="00CC2883" w:rsidRDefault="00FF5C20">
      <w:pPr>
        <w:shd w:val="clear" w:color="auto" w:fill="FFFFFF"/>
        <w:rPr>
          <w:color w:val="000000" w:themeColor="text1"/>
        </w:rPr>
      </w:pPr>
    </w:p>
    <w:p w14:paraId="704C8694" w14:textId="77777777" w:rsidR="00FF5C20" w:rsidRPr="00CC2883" w:rsidRDefault="0023702F">
      <w:pPr>
        <w:pStyle w:val="afd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 xml:space="preserve"> Норматив якості активів (Н6) встановлюється з метою постійного підтримання на достатньому рівні високоліквідних активів для своєчасного виконання гарантом всіх прийнятих на себе зобов’язань. </w:t>
      </w:r>
    </w:p>
    <w:p w14:paraId="42D3C471" w14:textId="77777777" w:rsidR="00FF5C20" w:rsidRPr="00CC2883" w:rsidRDefault="0023702F">
      <w:pPr>
        <w:pStyle w:val="afd"/>
        <w:rPr>
          <w:color w:val="000000" w:themeColor="text1"/>
          <w:sz w:val="28"/>
          <w:szCs w:val="28"/>
        </w:rPr>
      </w:pPr>
      <w:bookmarkStart w:id="22" w:name="n271"/>
      <w:bookmarkStart w:id="23" w:name="n270"/>
      <w:bookmarkStart w:id="24" w:name="n269"/>
      <w:bookmarkStart w:id="25" w:name="n268"/>
      <w:bookmarkStart w:id="26" w:name="n267"/>
      <w:bookmarkStart w:id="27" w:name="n266"/>
      <w:bookmarkStart w:id="28" w:name="n265"/>
      <w:bookmarkStart w:id="29" w:name="n264"/>
      <w:bookmarkStart w:id="30" w:name="n263"/>
      <w:bookmarkStart w:id="31" w:name="n262"/>
      <w:bookmarkStart w:id="32" w:name="n260"/>
      <w:bookmarkStart w:id="33" w:name="n261"/>
      <w:bookmarkStart w:id="34" w:name="n54"/>
      <w:bookmarkStart w:id="35" w:name="n52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CC2883">
        <w:rPr>
          <w:color w:val="000000" w:themeColor="text1"/>
          <w:sz w:val="28"/>
          <w:szCs w:val="28"/>
        </w:rPr>
        <w:t>Розрахунок нормативу якості активів (Н6) здійснюється за такою формулою:</w:t>
      </w:r>
    </w:p>
    <w:p w14:paraId="5123F373" w14:textId="77777777" w:rsidR="00FF5C20" w:rsidRPr="00CC2883" w:rsidRDefault="0023702F">
      <w:pPr>
        <w:pStyle w:val="rvps2"/>
        <w:shd w:val="clear" w:color="auto" w:fill="FFFFFF"/>
        <w:spacing w:before="280" w:after="280"/>
        <w:ind w:firstLine="450"/>
        <w:jc w:val="both"/>
        <w:rPr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Н6=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А1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МВК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</m:t>
          </m:r>
          <m:r>
            <m:rPr>
              <m:lit/>
              <m:nor/>
            </m:rPr>
            <w:rPr>
              <w:sz w:val="28"/>
              <w:szCs w:val="28"/>
            </w:rPr>
            <m:t>%, де:</m:t>
          </m:r>
        </m:oMath>
      </m:oMathPara>
    </w:p>
    <w:p w14:paraId="6B3F58CB" w14:textId="77777777" w:rsidR="00FF5C20" w:rsidRPr="00CC2883" w:rsidRDefault="0023702F">
      <w:pPr>
        <w:shd w:val="clear" w:color="auto" w:fill="FFFFFF"/>
        <w:rPr>
          <w:color w:val="000000" w:themeColor="text1"/>
        </w:rPr>
      </w:pPr>
      <w:r w:rsidRPr="00CC2883">
        <w:rPr>
          <w:color w:val="000000" w:themeColor="text1"/>
        </w:rPr>
        <w:t>1) А1 ‒ прийнятні активи;</w:t>
      </w:r>
    </w:p>
    <w:p w14:paraId="783E51AA" w14:textId="77777777" w:rsidR="00FF5C20" w:rsidRPr="00CC2883" w:rsidRDefault="0023702F" w:rsidP="00C975A2">
      <w:pPr>
        <w:pStyle w:val="rvps2"/>
        <w:widowControl w:val="0"/>
        <w:shd w:val="clear" w:color="auto" w:fill="FFFFFF"/>
        <w:spacing w:before="100" w:afterAutospacing="0"/>
        <w:jc w:val="both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2) МВК – мінімальний власний капітал гаранта у розмірі:</w:t>
      </w:r>
    </w:p>
    <w:p w14:paraId="09CFD295" w14:textId="77777777" w:rsidR="00FF5C20" w:rsidRPr="00CC2883" w:rsidRDefault="0023702F" w:rsidP="00C975A2">
      <w:pPr>
        <w:pStyle w:val="rvps2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>3 млн. грн. для гарантів які мають право провадження діяльності з надання одного виду фінансових послуг, визначеного у пункті 3.1 або 3.2 цього Положення;</w:t>
      </w:r>
    </w:p>
    <w:p w14:paraId="04CE604B" w14:textId="77777777" w:rsidR="00FF5C20" w:rsidRPr="00CC2883" w:rsidRDefault="0023702F" w:rsidP="00C975A2">
      <w:pPr>
        <w:pStyle w:val="rvps2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CC2883">
        <w:rPr>
          <w:color w:val="000000" w:themeColor="text1"/>
          <w:sz w:val="28"/>
          <w:szCs w:val="28"/>
        </w:rPr>
        <w:t xml:space="preserve">5 млн. грн. для гарантів, які на підставі наявних у них ліцензій </w:t>
      </w:r>
      <w:r w:rsidRPr="00CC2883">
        <w:rPr>
          <w:color w:val="000000" w:themeColor="text1"/>
          <w:sz w:val="28"/>
          <w:szCs w:val="28"/>
          <w:shd w:val="clear" w:color="auto" w:fill="FFFFFF"/>
        </w:rPr>
        <w:t>на провадження діяльності з надання фінансових послуг</w:t>
      </w:r>
      <w:r w:rsidRPr="00CC2883">
        <w:rPr>
          <w:color w:val="000000" w:themeColor="text1"/>
          <w:sz w:val="28"/>
          <w:szCs w:val="28"/>
        </w:rPr>
        <w:t xml:space="preserve"> мають право надавати два та більше видів фінансових послуг.</w:t>
      </w:r>
    </w:p>
    <w:p w14:paraId="7C50DFA1" w14:textId="77777777" w:rsidR="00FF5C20" w:rsidRPr="00CC2883" w:rsidRDefault="0023702F" w:rsidP="00C975A2">
      <w:pPr>
        <w:pStyle w:val="rvps2"/>
        <w:shd w:val="clear" w:color="auto" w:fill="FFFFFF"/>
        <w:spacing w:beforeAutospacing="0" w:afterAutospacing="0"/>
        <w:jc w:val="both"/>
      </w:pPr>
      <w:r w:rsidRPr="00CC2883">
        <w:rPr>
          <w:color w:val="000000" w:themeColor="text1"/>
          <w:sz w:val="28"/>
          <w:szCs w:val="28"/>
        </w:rPr>
        <w:lastRenderedPageBreak/>
        <w:t>Нормативне значення нормативу якості активів (Н6) має бути не менше ніж 100 відсотків.</w:t>
      </w:r>
    </w:p>
    <w:sectPr w:rsidR="00FF5C20" w:rsidRPr="00CC2883">
      <w:headerReference w:type="default" r:id="rId17"/>
      <w:footerReference w:type="default" r:id="rId18"/>
      <w:pgSz w:w="11906" w:h="16838"/>
      <w:pgMar w:top="766" w:right="567" w:bottom="1701" w:left="1701" w:header="709" w:footer="709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7B5C" w14:textId="77777777" w:rsidR="008B1766" w:rsidRDefault="008B1766">
      <w:r>
        <w:separator/>
      </w:r>
    </w:p>
  </w:endnote>
  <w:endnote w:type="continuationSeparator" w:id="0">
    <w:p w14:paraId="6A58E118" w14:textId="77777777" w:rsidR="008B1766" w:rsidRDefault="008B1766">
      <w:r>
        <w:continuationSeparator/>
      </w:r>
    </w:p>
  </w:endnote>
  <w:endnote w:type="continuationNotice" w:id="1">
    <w:p w14:paraId="6323169D" w14:textId="77777777" w:rsidR="008B1766" w:rsidRDefault="008B1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DD82" w14:textId="77777777" w:rsidR="00FF5C20" w:rsidRDefault="00FF5C20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4566" w14:textId="77777777" w:rsidR="00FF5C20" w:rsidRDefault="0023702F">
    <w:pPr>
      <w:pStyle w:val="af5"/>
      <w:tabs>
        <w:tab w:val="clear" w:pos="4819"/>
      </w:tabs>
      <w:jc w:val="right"/>
    </w:pPr>
    <w:r>
      <w:rPr>
        <w:color w:val="FFFFFF"/>
      </w:rPr>
      <w:t>Шаблон</w:t>
    </w:r>
  </w:p>
  <w:p w14:paraId="401C3E89" w14:textId="77777777" w:rsidR="00FF5C20" w:rsidRDefault="0023702F">
    <w:pPr>
      <w:pStyle w:val="af6"/>
      <w:jc w:val="right"/>
    </w:pPr>
    <w:r>
      <w:rPr>
        <w:color w:val="FFFFFF"/>
      </w:rPr>
      <w:t>Шаблон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48CD" w14:textId="77777777" w:rsidR="00FF5C20" w:rsidRDefault="00FF5C2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3302A" w14:textId="77777777" w:rsidR="008B1766" w:rsidRDefault="008B1766">
      <w:r>
        <w:separator/>
      </w:r>
    </w:p>
  </w:footnote>
  <w:footnote w:type="continuationSeparator" w:id="0">
    <w:p w14:paraId="3CF0DC49" w14:textId="77777777" w:rsidR="008B1766" w:rsidRDefault="008B1766">
      <w:r>
        <w:continuationSeparator/>
      </w:r>
    </w:p>
  </w:footnote>
  <w:footnote w:type="continuationNotice" w:id="1">
    <w:p w14:paraId="4B29AEBF" w14:textId="77777777" w:rsidR="008B1766" w:rsidRDefault="008B1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C72ED" w14:textId="39633C2A" w:rsidR="00FF5C20" w:rsidRDefault="0023702F">
    <w:pPr>
      <w:pStyle w:val="af5"/>
      <w:ind w:firstLine="0"/>
      <w:jc w:val="center"/>
    </w:pPr>
    <w:r>
      <w:fldChar w:fldCharType="begin"/>
    </w:r>
    <w:r>
      <w:instrText>PAGE</w:instrText>
    </w:r>
    <w:r>
      <w:fldChar w:fldCharType="separate"/>
    </w:r>
    <w:r w:rsidR="004E547A">
      <w:rPr>
        <w:noProof/>
      </w:rPr>
      <w:t>2</w:t>
    </w:r>
    <w:r>
      <w:fldChar w:fldCharType="end"/>
    </w:r>
  </w:p>
  <w:p w14:paraId="0201D4D4" w14:textId="77777777" w:rsidR="00FF5C20" w:rsidRDefault="00FF5C2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1926" w14:textId="533C81FA" w:rsidR="00FF5C20" w:rsidRDefault="0023702F">
    <w:pPr>
      <w:pStyle w:val="af5"/>
      <w:ind w:firstLine="0"/>
      <w:jc w:val="center"/>
    </w:pPr>
    <w:r>
      <w:fldChar w:fldCharType="begin"/>
    </w:r>
    <w:r>
      <w:instrText>PAGE</w:instrText>
    </w:r>
    <w:r>
      <w:fldChar w:fldCharType="separate"/>
    </w:r>
    <w:r w:rsidR="004E547A">
      <w:rPr>
        <w:noProof/>
      </w:rPr>
      <w:t>8</w:t>
    </w:r>
    <w:r>
      <w:fldChar w:fldCharType="end"/>
    </w:r>
  </w:p>
  <w:p w14:paraId="7558A3DD" w14:textId="77777777" w:rsidR="00FF5C20" w:rsidRDefault="00FF5C2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9DE"/>
    <w:multiLevelType w:val="multilevel"/>
    <w:tmpl w:val="1CF07CB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12EC4"/>
    <w:multiLevelType w:val="multilevel"/>
    <w:tmpl w:val="9860223C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731C50"/>
    <w:multiLevelType w:val="multilevel"/>
    <w:tmpl w:val="A0ECEF6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B675B0"/>
    <w:multiLevelType w:val="multilevel"/>
    <w:tmpl w:val="62FCC9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54369E"/>
    <w:multiLevelType w:val="multilevel"/>
    <w:tmpl w:val="3690B5E2"/>
    <w:lvl w:ilvl="0">
      <w:start w:val="1"/>
      <w:numFmt w:val="decimal"/>
      <w:lvlText w:val="%1."/>
      <w:lvlJc w:val="left"/>
      <w:pPr>
        <w:ind w:left="141" w:firstLine="709"/>
      </w:pPr>
      <w:rPr>
        <w:sz w:val="28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20"/>
    <w:rsid w:val="00027DFE"/>
    <w:rsid w:val="0005177D"/>
    <w:rsid w:val="000F7F57"/>
    <w:rsid w:val="001C30BA"/>
    <w:rsid w:val="002354D6"/>
    <w:rsid w:val="0023702F"/>
    <w:rsid w:val="00320D99"/>
    <w:rsid w:val="00325DAC"/>
    <w:rsid w:val="00367918"/>
    <w:rsid w:val="0037082F"/>
    <w:rsid w:val="00413185"/>
    <w:rsid w:val="004753CE"/>
    <w:rsid w:val="004C26B9"/>
    <w:rsid w:val="004C777D"/>
    <w:rsid w:val="004E547A"/>
    <w:rsid w:val="004F5372"/>
    <w:rsid w:val="00536988"/>
    <w:rsid w:val="00547E80"/>
    <w:rsid w:val="00580D2E"/>
    <w:rsid w:val="00691D79"/>
    <w:rsid w:val="006D40EA"/>
    <w:rsid w:val="0070719A"/>
    <w:rsid w:val="007359B2"/>
    <w:rsid w:val="007366D9"/>
    <w:rsid w:val="007811FA"/>
    <w:rsid w:val="007E2E3D"/>
    <w:rsid w:val="008102B1"/>
    <w:rsid w:val="008B1766"/>
    <w:rsid w:val="00930698"/>
    <w:rsid w:val="00976CA5"/>
    <w:rsid w:val="0098031B"/>
    <w:rsid w:val="00981192"/>
    <w:rsid w:val="009B1568"/>
    <w:rsid w:val="00A7101D"/>
    <w:rsid w:val="00A84959"/>
    <w:rsid w:val="00A91AD9"/>
    <w:rsid w:val="00B27E47"/>
    <w:rsid w:val="00B35778"/>
    <w:rsid w:val="00B4288A"/>
    <w:rsid w:val="00B76EA0"/>
    <w:rsid w:val="00BA0605"/>
    <w:rsid w:val="00BB3095"/>
    <w:rsid w:val="00BD7A09"/>
    <w:rsid w:val="00C21F5F"/>
    <w:rsid w:val="00C5454D"/>
    <w:rsid w:val="00C757CA"/>
    <w:rsid w:val="00C975A2"/>
    <w:rsid w:val="00CC2883"/>
    <w:rsid w:val="00CE4F8C"/>
    <w:rsid w:val="00CE6446"/>
    <w:rsid w:val="00D57DF1"/>
    <w:rsid w:val="00D86820"/>
    <w:rsid w:val="00E23A33"/>
    <w:rsid w:val="00E55C3C"/>
    <w:rsid w:val="00E80054"/>
    <w:rsid w:val="00EB3FF1"/>
    <w:rsid w:val="00EB6E26"/>
    <w:rsid w:val="00F574D3"/>
    <w:rsid w:val="00FB5B93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F4E8"/>
  <w15:docId w15:val="{7BD2B2F9-CDD3-4C1E-BBA3-57FF3AA0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8D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34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7C6E93"/>
    <w:pPr>
      <w:spacing w:beforeAutospacing="1" w:afterAutospacing="1"/>
      <w:ind w:firstLine="0"/>
      <w:jc w:val="left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uiPriority w:val="10"/>
    <w:qFormat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a4">
    <w:name w:val="Верхній колонтитул Знак"/>
    <w:uiPriority w:val="99"/>
    <w:qFormat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5">
    <w:name w:val="Нижній колонтитул Знак"/>
    <w:uiPriority w:val="99"/>
    <w:qFormat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6">
    <w:name w:val="Текст у виносці Знак"/>
    <w:uiPriority w:val="99"/>
    <w:semiHidden/>
    <w:qFormat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7">
    <w:name w:val="Placeholder Text"/>
    <w:uiPriority w:val="99"/>
    <w:semiHidden/>
    <w:qFormat/>
    <w:rsid w:val="00542533"/>
    <w:rPr>
      <w:rFonts w:cs="Times New Roman"/>
      <w:color w:val="808080"/>
    </w:rPr>
  </w:style>
  <w:style w:type="character" w:customStyle="1" w:styleId="a8">
    <w:name w:val="Привітання Знак"/>
    <w:uiPriority w:val="6"/>
    <w:qFormat/>
    <w:rsid w:val="00523C13"/>
    <w:rPr>
      <w:rFonts w:eastAsia="Times New Roman" w:cs="Times New Roman"/>
      <w:b/>
      <w:bCs/>
      <w:color w:val="000000"/>
      <w:lang w:val="ru-RU"/>
    </w:rPr>
  </w:style>
  <w:style w:type="character" w:customStyle="1" w:styleId="a9">
    <w:name w:val="Без інтервалів Знак"/>
    <w:uiPriority w:val="1"/>
    <w:qFormat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a">
    <w:name w:val="Текст примітки Знак"/>
    <w:uiPriority w:val="99"/>
    <w:qFormat/>
    <w:rsid w:val="00F93AAA"/>
    <w:rPr>
      <w:rFonts w:ascii="Times New Roman" w:hAnsi="Times New Roman" w:cs="Times New Roman"/>
      <w:sz w:val="20"/>
      <w:szCs w:val="20"/>
      <w:lang w:eastAsia="uk-UA"/>
    </w:rPr>
  </w:style>
  <w:style w:type="character" w:styleId="ab">
    <w:name w:val="annotation reference"/>
    <w:uiPriority w:val="99"/>
    <w:semiHidden/>
    <w:unhideWhenUsed/>
    <w:qFormat/>
    <w:rsid w:val="00F93AAA"/>
    <w:rPr>
      <w:sz w:val="16"/>
      <w:szCs w:val="16"/>
    </w:rPr>
  </w:style>
  <w:style w:type="character" w:customStyle="1" w:styleId="rvts44">
    <w:name w:val="rvts44"/>
    <w:basedOn w:val="a0"/>
    <w:qFormat/>
    <w:rsid w:val="000231B8"/>
  </w:style>
  <w:style w:type="character" w:customStyle="1" w:styleId="ac">
    <w:name w:val="Тема примітки Знак"/>
    <w:uiPriority w:val="99"/>
    <w:semiHidden/>
    <w:qFormat/>
    <w:rsid w:val="009520BB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styleId="ad">
    <w:name w:val="Hyperlink"/>
    <w:uiPriority w:val="99"/>
    <w:unhideWhenUsed/>
    <w:rsid w:val="009E140E"/>
    <w:rPr>
      <w:color w:val="0000FF"/>
      <w:u w:val="single"/>
    </w:rPr>
  </w:style>
  <w:style w:type="character" w:customStyle="1" w:styleId="rvts23">
    <w:name w:val="rvts23"/>
    <w:basedOn w:val="a0"/>
    <w:qFormat/>
    <w:rsid w:val="00CF0187"/>
  </w:style>
  <w:style w:type="character" w:customStyle="1" w:styleId="rvts9">
    <w:name w:val="rvts9"/>
    <w:basedOn w:val="a0"/>
    <w:qFormat/>
    <w:rsid w:val="00CF0187"/>
  </w:style>
  <w:style w:type="character" w:customStyle="1" w:styleId="ae">
    <w:name w:val="Абзац списку Знак"/>
    <w:uiPriority w:val="34"/>
    <w:qFormat/>
    <w:locked/>
    <w:rsid w:val="0069796E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ListLabel5">
    <w:name w:val="ListLabel 5"/>
    <w:qFormat/>
    <w:rsid w:val="0046207D"/>
    <w:rPr>
      <w:rFonts w:cs="Courier New"/>
    </w:rPr>
  </w:style>
  <w:style w:type="character" w:customStyle="1" w:styleId="rvts37">
    <w:name w:val="rvts37"/>
    <w:basedOn w:val="a0"/>
    <w:qFormat/>
    <w:rsid w:val="006A1963"/>
  </w:style>
  <w:style w:type="character" w:customStyle="1" w:styleId="fontstyle01">
    <w:name w:val="fontstyle01"/>
    <w:basedOn w:val="a0"/>
    <w:qFormat/>
    <w:rsid w:val="00EC79DB"/>
    <w:rPr>
      <w:rFonts w:ascii="Times New Roman" w:hAnsi="Times New Roman" w:cs="Times New Roman"/>
      <w:b w:val="0"/>
      <w:bCs w:val="0"/>
      <w:i w:val="0"/>
      <w:iCs w:val="0"/>
      <w:color w:val="000000"/>
      <w:sz w:val="30"/>
      <w:szCs w:val="30"/>
    </w:rPr>
  </w:style>
  <w:style w:type="character" w:customStyle="1" w:styleId="30">
    <w:name w:val="Заголовок 3 Знак"/>
    <w:basedOn w:val="a0"/>
    <w:link w:val="3"/>
    <w:semiHidden/>
    <w:qFormat/>
    <w:rsid w:val="007C6E93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rvts48">
    <w:name w:val="rvts48"/>
    <w:basedOn w:val="a0"/>
    <w:qFormat/>
    <w:rsid w:val="007C6E93"/>
  </w:style>
  <w:style w:type="character" w:customStyle="1" w:styleId="ListLabel6">
    <w:name w:val="ListLabel 6"/>
    <w:qFormat/>
    <w:rPr>
      <w:rFonts w:eastAsia="Times New Roman" w:cs="Times New Roman"/>
      <w:b w:val="0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  <w:color w:val="000000"/>
      <w:sz w:val="28"/>
      <w:szCs w:val="28"/>
      <w:u w:val="none"/>
      <w:lang w:val="ru-RU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color w:val="000000" w:themeColor="text1"/>
    </w:rPr>
  </w:style>
  <w:style w:type="character" w:customStyle="1" w:styleId="ListLabel15">
    <w:name w:val="ListLabel 15"/>
    <w:qFormat/>
    <w:rPr>
      <w:sz w:val="20"/>
      <w:szCs w:val="20"/>
      <w:highlight w:val="white"/>
    </w:rPr>
  </w:style>
  <w:style w:type="character" w:customStyle="1" w:styleId="ListLabel16">
    <w:name w:val="ListLabel 16"/>
    <w:qFormat/>
    <w:rPr>
      <w:bCs/>
      <w:iCs/>
      <w:color w:val="000099"/>
      <w:sz w:val="20"/>
      <w:szCs w:val="20"/>
      <w:highlight w:val="white"/>
    </w:rPr>
  </w:style>
  <w:style w:type="character" w:customStyle="1" w:styleId="ListLabel17">
    <w:name w:val="ListLabel 17"/>
    <w:qFormat/>
    <w:rPr>
      <w:color w:val="000000" w:themeColor="text1"/>
    </w:rPr>
  </w:style>
  <w:style w:type="character" w:customStyle="1" w:styleId="ListLabel18">
    <w:name w:val="ListLabel 18"/>
    <w:qFormat/>
    <w:rPr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qFormat/>
    <w:rsid w:val="00F034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vts15">
    <w:name w:val="rvts15"/>
    <w:basedOn w:val="a0"/>
    <w:qFormat/>
    <w:rsid w:val="0084623C"/>
  </w:style>
  <w:style w:type="character" w:customStyle="1" w:styleId="ListLabel19">
    <w:name w:val="ListLabel 19"/>
    <w:qFormat/>
    <w:rPr>
      <w:b w:val="0"/>
      <w:i w:val="0"/>
      <w:sz w:val="28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b w:val="0"/>
      <w:i w:val="0"/>
      <w:sz w:val="28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sz w:val="28"/>
    </w:rPr>
  </w:style>
  <w:style w:type="character" w:customStyle="1" w:styleId="ListLabel24">
    <w:name w:val="ListLabel 24"/>
    <w:qFormat/>
    <w:rPr>
      <w:b w:val="0"/>
      <w:i w:val="0"/>
      <w:sz w:val="28"/>
    </w:rPr>
  </w:style>
  <w:style w:type="character" w:customStyle="1" w:styleId="ListLabel25">
    <w:name w:val="ListLabel 25"/>
    <w:qFormat/>
    <w:rPr>
      <w:sz w:val="28"/>
    </w:rPr>
  </w:style>
  <w:style w:type="character" w:customStyle="1" w:styleId="ListLabel26">
    <w:name w:val="ListLabel 26"/>
    <w:qFormat/>
    <w:rPr>
      <w:b w:val="0"/>
      <w:i w:val="0"/>
      <w:sz w:val="28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ShapkaDocumentu">
    <w:name w:val="Shapka Documentu"/>
    <w:basedOn w:val="a"/>
    <w:qFormat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f4">
    <w:name w:val="Title"/>
    <w:basedOn w:val="a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paragraph" w:styleId="af5">
    <w:name w:val="header"/>
    <w:basedOn w:val="a"/>
    <w:uiPriority w:val="99"/>
    <w:unhideWhenUsed/>
    <w:rsid w:val="00E53CCD"/>
    <w:pPr>
      <w:tabs>
        <w:tab w:val="center" w:pos="4819"/>
        <w:tab w:val="right" w:pos="9639"/>
      </w:tabs>
    </w:pPr>
  </w:style>
  <w:style w:type="paragraph" w:styleId="af6">
    <w:name w:val="footer"/>
    <w:basedOn w:val="a"/>
    <w:uiPriority w:val="99"/>
    <w:unhideWhenUsed/>
    <w:rsid w:val="00E53CCD"/>
    <w:pPr>
      <w:tabs>
        <w:tab w:val="center" w:pos="4819"/>
        <w:tab w:val="right" w:pos="9639"/>
      </w:tabs>
    </w:pPr>
  </w:style>
  <w:style w:type="paragraph" w:customStyle="1" w:styleId="af7">
    <w:name w:val="Обратный адрес"/>
    <w:basedOn w:val="af8"/>
    <w:uiPriority w:val="3"/>
    <w:qFormat/>
    <w:rsid w:val="007A6609"/>
    <w:pPr>
      <w:spacing w:after="360"/>
      <w:contextualSpacing/>
      <w:jc w:val="left"/>
    </w:pPr>
    <w:rPr>
      <w:rFonts w:ascii="Calibri" w:hAnsi="Calibri"/>
      <w:color w:val="000000"/>
      <w:sz w:val="22"/>
      <w:szCs w:val="22"/>
      <w:lang w:val="ru-RU" w:eastAsia="en-US"/>
    </w:rPr>
  </w:style>
  <w:style w:type="paragraph" w:styleId="af8">
    <w:name w:val="No Spacing"/>
    <w:uiPriority w:val="1"/>
    <w:qFormat/>
    <w:rsid w:val="007A6609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9">
    <w:name w:val="Balloon Text"/>
    <w:basedOn w:val="a"/>
    <w:uiPriority w:val="99"/>
    <w:semiHidden/>
    <w:unhideWhenUsed/>
    <w:qFormat/>
    <w:rsid w:val="007A6609"/>
    <w:rPr>
      <w:rFonts w:ascii="Tahoma" w:hAnsi="Tahoma" w:cs="Tahoma"/>
      <w:sz w:val="16"/>
      <w:szCs w:val="16"/>
    </w:rPr>
  </w:style>
  <w:style w:type="paragraph" w:customStyle="1" w:styleId="afa">
    <w:name w:val="Текст даты"/>
    <w:basedOn w:val="a"/>
    <w:uiPriority w:val="35"/>
    <w:qFormat/>
    <w:rsid w:val="00E53CB5"/>
    <w:pPr>
      <w:spacing w:before="720" w:after="200" w:line="276" w:lineRule="auto"/>
      <w:contextualSpacing/>
      <w:jc w:val="left"/>
    </w:pPr>
    <w:rPr>
      <w:rFonts w:ascii="Calibri" w:hAnsi="Calibri"/>
      <w:color w:val="000000"/>
      <w:sz w:val="22"/>
      <w:szCs w:val="22"/>
      <w:lang w:val="ru-RU" w:eastAsia="en-US"/>
    </w:rPr>
  </w:style>
  <w:style w:type="paragraph" w:styleId="afb">
    <w:name w:val="Salutation"/>
    <w:basedOn w:val="af8"/>
    <w:next w:val="a"/>
    <w:uiPriority w:val="6"/>
    <w:unhideWhenUsed/>
    <w:qFormat/>
    <w:rsid w:val="00523C13"/>
    <w:pPr>
      <w:spacing w:before="480" w:after="320"/>
      <w:contextualSpacing/>
      <w:jc w:val="left"/>
    </w:pPr>
    <w:rPr>
      <w:rFonts w:ascii="Calibri" w:hAnsi="Calibri"/>
      <w:b/>
      <w:bCs/>
      <w:color w:val="000000"/>
      <w:sz w:val="22"/>
      <w:szCs w:val="22"/>
      <w:lang w:val="ru-RU" w:eastAsia="en-US"/>
    </w:rPr>
  </w:style>
  <w:style w:type="paragraph" w:styleId="afc">
    <w:name w:val="List Paragraph"/>
    <w:basedOn w:val="a"/>
    <w:uiPriority w:val="34"/>
    <w:qFormat/>
    <w:rsid w:val="001740C0"/>
    <w:pPr>
      <w:ind w:left="720"/>
      <w:contextualSpacing/>
    </w:pPr>
  </w:style>
  <w:style w:type="paragraph" w:customStyle="1" w:styleId="Default">
    <w:name w:val="Default"/>
    <w:qFormat/>
    <w:rsid w:val="00BB6789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d">
    <w:name w:val="annotation text"/>
    <w:basedOn w:val="a"/>
    <w:uiPriority w:val="99"/>
    <w:unhideWhenUsed/>
    <w:qFormat/>
    <w:rsid w:val="00F93AAA"/>
    <w:rPr>
      <w:sz w:val="20"/>
      <w:szCs w:val="20"/>
    </w:rPr>
  </w:style>
  <w:style w:type="paragraph" w:customStyle="1" w:styleId="rvps2">
    <w:name w:val="rvps2"/>
    <w:basedOn w:val="a"/>
    <w:qFormat/>
    <w:rsid w:val="003F15CA"/>
    <w:pPr>
      <w:spacing w:beforeAutospacing="1" w:afterAutospacing="1"/>
      <w:jc w:val="left"/>
    </w:pPr>
    <w:rPr>
      <w:sz w:val="24"/>
      <w:szCs w:val="24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9520BB"/>
    <w:rPr>
      <w:b/>
      <w:bCs/>
    </w:rPr>
  </w:style>
  <w:style w:type="paragraph" w:customStyle="1" w:styleId="rvps4">
    <w:name w:val="rvps4"/>
    <w:basedOn w:val="a"/>
    <w:qFormat/>
    <w:rsid w:val="00CF0187"/>
    <w:pPr>
      <w:spacing w:beforeAutospacing="1" w:afterAutospacing="1"/>
      <w:jc w:val="left"/>
    </w:pPr>
    <w:rPr>
      <w:sz w:val="24"/>
      <w:szCs w:val="24"/>
    </w:rPr>
  </w:style>
  <w:style w:type="paragraph" w:customStyle="1" w:styleId="rvps7">
    <w:name w:val="rvps7"/>
    <w:basedOn w:val="a"/>
    <w:qFormat/>
    <w:rsid w:val="00CF0187"/>
    <w:pPr>
      <w:spacing w:beforeAutospacing="1" w:afterAutospacing="1"/>
      <w:jc w:val="left"/>
    </w:pPr>
    <w:rPr>
      <w:sz w:val="24"/>
      <w:szCs w:val="24"/>
    </w:rPr>
  </w:style>
  <w:style w:type="paragraph" w:styleId="aff">
    <w:name w:val="Revision"/>
    <w:uiPriority w:val="99"/>
    <w:semiHidden/>
    <w:qFormat/>
    <w:rsid w:val="00CF0187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f0">
    <w:name w:val="Normal (Web)"/>
    <w:basedOn w:val="a"/>
    <w:semiHidden/>
    <w:unhideWhenUsed/>
    <w:qFormat/>
    <w:rsid w:val="007C6E93"/>
    <w:pPr>
      <w:spacing w:beforeAutospacing="1" w:afterAutospacing="1"/>
      <w:ind w:firstLine="0"/>
      <w:jc w:val="left"/>
    </w:pPr>
    <w:rPr>
      <w:sz w:val="24"/>
      <w:szCs w:val="24"/>
      <w:lang w:val="ru-RU" w:eastAsia="ru-RU"/>
    </w:rPr>
  </w:style>
  <w:style w:type="table" w:styleId="aff1">
    <w:name w:val="Table Grid"/>
    <w:basedOn w:val="a1"/>
    <w:uiPriority w:val="59"/>
    <w:rsid w:val="0090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uiPriority w:val="59"/>
    <w:rsid w:val="009F3D2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"/>
    <w:basedOn w:val="a1"/>
    <w:rsid w:val="00D74C1E"/>
    <w:rPr>
      <w:sz w:val="22"/>
      <w:szCs w:val="22"/>
    </w:rPr>
    <w:tblPr>
      <w:tblStyleRowBandSize w:val="1"/>
      <w:tblStyleColBandSize w:val="1"/>
    </w:tblPr>
  </w:style>
  <w:style w:type="character" w:customStyle="1" w:styleId="rvts46">
    <w:name w:val="rvts46"/>
    <w:basedOn w:val="a0"/>
    <w:rsid w:val="00BA0605"/>
  </w:style>
  <w:style w:type="character" w:customStyle="1" w:styleId="rvts11">
    <w:name w:val="rvts11"/>
    <w:basedOn w:val="a0"/>
    <w:rsid w:val="00BA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BFC09-B8D8-497B-8FFA-44EDB2C91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37D6931-CE72-4422-A5B7-E9EC8055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9464</Words>
  <Characters>5396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1a4506</dc:creator>
  <dc:description/>
  <cp:lastModifiedBy>Завгородня Наталія Олегівна</cp:lastModifiedBy>
  <cp:revision>2</cp:revision>
  <cp:lastPrinted>2021-12-06T08:24:00Z</cp:lastPrinted>
  <dcterms:created xsi:type="dcterms:W3CDTF">2021-12-24T09:50:00Z</dcterms:created>
  <dcterms:modified xsi:type="dcterms:W3CDTF">2021-12-24T09:50:00Z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National Bank of Ukraine</vt:lpwstr>
  </property>
  <property fmtid="{D5CDD505-2E9C-101B-9397-08002B2CF9AE}" pid="4" name="ContentTypeId">
    <vt:lpwstr>0x0101005D38310B097A7C4A8F1284EA8FDC65F7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