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03" w:rsidRPr="00095B43" w:rsidRDefault="008C1B03" w:rsidP="0029291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9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Таблиця відповідності назв тарифів на депозитарні послуги, а також на послуги щодо обліку і обігу депозитних сертифікатів Національного банку України</w:t>
      </w:r>
      <w:r w:rsidR="00CC454A" w:rsidRPr="0009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29291A" w:rsidRPr="00095B43" w:rsidRDefault="00B87CCA" w:rsidP="00CC454A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</w:t>
      </w:r>
      <w:r w:rsidR="00527C40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таблиц</w:t>
      </w:r>
      <w:r w:rsidR="006B62B9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</w:t>
      </w:r>
      <w:r w:rsidR="00527C40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E97055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нижче</w:t>
      </w:r>
      <w:r w:rsidR="00527C40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зазначен</w:t>
      </w:r>
      <w:r w:rsidR="00606735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</w:t>
      </w:r>
      <w:r w:rsidR="009C613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F5610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</w:t>
      </w:r>
      <w:r w:rsidR="009C613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азв</w:t>
      </w:r>
      <w:r w:rsidR="00606735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</w:t>
      </w:r>
      <w:r w:rsidR="00F5610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29291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тарифів на депозитарні послуги (операції), що надаються (здійснюються) Національним банком України, а також на послуги щодо обліку і обігу депозитних сертифікатів Національного банку України</w:t>
      </w:r>
      <w:r w:rsidR="00F5610A" w:rsidRPr="00095B43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footnoteReference w:id="1"/>
      </w:r>
      <w:r w:rsidR="0029291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4D28DB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та відповідні їм</w:t>
      </w:r>
      <w:r w:rsidR="009C613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29291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скорочені назви</w:t>
      </w:r>
      <w:r w:rsidR="004D28DB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цих</w:t>
      </w:r>
      <w:r w:rsidR="0029291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тарифів, що </w:t>
      </w:r>
      <w:r w:rsidR="004D28DB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використовуються Національним банком </w:t>
      </w:r>
      <w:r w:rsidR="0029291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 актах наданих послуг</w:t>
      </w:r>
      <w:r w:rsidR="00CC454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(далі – акт</w:t>
      </w:r>
      <w:r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</w:t>
      </w:r>
      <w:r w:rsidR="00CC454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="0029291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D247E8" w:rsidRPr="00095B43" w:rsidRDefault="00D247E8" w:rsidP="00CC45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Клієнти Національного банку </w:t>
      </w:r>
      <w:r w:rsidR="00E5049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</w:t>
      </w:r>
      <w:r w:rsidR="00B87CC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ід час</w:t>
      </w:r>
      <w:r w:rsidR="00E5049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оплат</w:t>
      </w:r>
      <w:r w:rsidR="00B87CC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</w:t>
      </w:r>
      <w:r w:rsidR="00E5049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B90E68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зазначених послуг</w:t>
      </w:r>
      <w:r w:rsidR="00E5049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згідно </w:t>
      </w:r>
      <w:r w:rsidR="00B87CC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 </w:t>
      </w:r>
      <w:r w:rsidR="00E5049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отримани</w:t>
      </w:r>
      <w:r w:rsidR="00B87CC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ми</w:t>
      </w:r>
      <w:r w:rsidR="00E5049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B90E68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 Національного банку України </w:t>
      </w:r>
      <w:r w:rsidR="00E5049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акт</w:t>
      </w:r>
      <w:r w:rsidR="00B87CC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ами</w:t>
      </w:r>
      <w:r w:rsidR="00DF511B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 потреби</w:t>
      </w:r>
      <w:r w:rsidR="00E5049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можуть</w:t>
      </w:r>
      <w:r w:rsidR="00216898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використовувати </w:t>
      </w:r>
      <w:r w:rsidR="00B87CCA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цю</w:t>
      </w:r>
      <w:r w:rsidR="00216898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таблицю для цілей </w:t>
      </w:r>
      <w:r w:rsidR="00F95F4B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внутрішнього </w:t>
      </w:r>
      <w:r w:rsidR="00216898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обліку</w:t>
      </w:r>
      <w:r w:rsidR="00B90E68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="00E5049C" w:rsidRPr="00095B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61"/>
        <w:gridCol w:w="5713"/>
        <w:gridCol w:w="3402"/>
      </w:tblGrid>
      <w:tr w:rsidR="0029291A" w:rsidRPr="00095B43" w:rsidTr="001C5554">
        <w:trPr>
          <w:trHeight w:val="79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1A" w:rsidRPr="00095B43" w:rsidRDefault="0029291A" w:rsidP="0029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№ </w:t>
            </w:r>
            <w:r w:rsidR="00145A7B"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</w:t>
            </w:r>
            <w:r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/п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29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Повна назва послуг (тарифів) </w:t>
            </w:r>
            <w:r w:rsidR="008C1B03"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згідно </w:t>
            </w:r>
            <w:r w:rsidR="007E0666"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 </w:t>
            </w:r>
            <w:r w:rsidR="008C1B03"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постанов</w:t>
            </w:r>
            <w:r w:rsidR="007E0666"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ою</w:t>
            </w:r>
            <w:r w:rsidR="008C1B03"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333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Коротка назва послуг (тарифів)</w:t>
            </w:r>
            <w:r w:rsidR="008C1B03"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для цілей </w:t>
            </w:r>
            <w:proofErr w:type="spellStart"/>
            <w:r w:rsidR="007E0666"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акта</w:t>
            </w:r>
            <w:proofErr w:type="spellEnd"/>
          </w:p>
        </w:tc>
      </w:tr>
      <w:tr w:rsidR="0029291A" w:rsidRPr="00095B43" w:rsidTr="001C5554">
        <w:trPr>
          <w:trHeight w:val="70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1A" w:rsidRPr="00095B43" w:rsidRDefault="0029291A" w:rsidP="0029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I. Тарифи на послуги (операції) із депозитарного обслуговування депозитарних установ, що надаються (здійснюються) Національним банком України як депозитарієм</w:t>
            </w:r>
          </w:p>
        </w:tc>
      </w:tr>
      <w:tr w:rsidR="0029291A" w:rsidRPr="00095B43" w:rsidTr="001C5554">
        <w:trPr>
          <w:trHeight w:val="106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Абонентська плата за супроводження рахунку в цінних паперах депозитарної установи в системі депозитарного обліку Національного банку (уключаючи надання інформаційних довідок із системи депозитарного обліку Національного банку та інформаційних повідомлень щодо державних цінних паперів, розміщених за межами України)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Абонплата та інформаційні операції</w:t>
            </w:r>
          </w:p>
        </w:tc>
      </w:tr>
      <w:tr w:rsidR="0029291A" w:rsidRPr="00095B43" w:rsidTr="001C5554">
        <w:trPr>
          <w:trHeight w:val="106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Відкриття рахунку в цінних паперах / виконання Національним банком України (далі – Національний банк) у ручному режимі облікових депозитарних операцій на підставі окремих розпоряджень, наданих у формі паперового чи електронного документа у випадках, передбачених законодавством України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Відкриття рахунку/ручні операції</w:t>
            </w:r>
          </w:p>
        </w:tc>
      </w:tr>
      <w:tr w:rsidR="0029291A" w:rsidRPr="00095B43" w:rsidTr="001C5554">
        <w:trPr>
          <w:trHeight w:val="106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Відображення в системі депозитарного обліку Національного банку правочину, який включено в </w:t>
            </w:r>
            <w:proofErr w:type="spellStart"/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неттінгові</w:t>
            </w:r>
            <w:proofErr w:type="spellEnd"/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розрахунки / проведення операцій між балансовими рахунками депозитарної установи, уключаючи блокування, розблокування цінних паперів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D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Операції на організованому ринку</w:t>
            </w:r>
            <w:r w:rsidR="0059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proofErr w:type="spellStart"/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неттінг</w:t>
            </w:r>
            <w:proofErr w:type="spellEnd"/>
          </w:p>
        </w:tc>
      </w:tr>
      <w:tr w:rsidR="0029291A" w:rsidRPr="00095B43" w:rsidTr="001C5554">
        <w:trPr>
          <w:trHeight w:val="106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 розрахунків у цінних паперах, проведених за принципом "поставка цінних паперів проти оплати" та "поставка цінних паперів без оплати", укладених поза організованим ринком капіталу у випадках, передбачених законодавством України (в тому числі без переходу права власності)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DVP/FOP поза організованим ринком</w:t>
            </w:r>
          </w:p>
        </w:tc>
      </w:tr>
      <w:tr w:rsidR="006470DF" w:rsidRPr="00095B43" w:rsidTr="001C5554">
        <w:trPr>
          <w:trHeight w:val="8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F" w:rsidRPr="00095B43" w:rsidRDefault="006470DF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F" w:rsidRPr="00095B43" w:rsidRDefault="006470DF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Виконання облікових депозитарних операцій із цінними паперами в процесі розміщення, погашення, конвертації, здійснення виплати доходів за цінними паперами в сумі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0DF" w:rsidRPr="00095B43" w:rsidRDefault="006470DF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9291A" w:rsidRPr="00095B43" w:rsidTr="001C5554">
        <w:trPr>
          <w:trHeight w:val="80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6470DF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6470DF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500 000 грн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Корпоративні операції &lt;500 т. грн</w:t>
            </w:r>
          </w:p>
        </w:tc>
      </w:tr>
      <w:tr w:rsidR="0029291A" w:rsidRPr="00095B43" w:rsidTr="001C5554">
        <w:trPr>
          <w:trHeight w:val="80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6470DF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DF" w:rsidRPr="00095B43" w:rsidRDefault="006470DF" w:rsidP="006470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 500 000 грн до 50 000 000 грн</w:t>
            </w:r>
          </w:p>
          <w:p w:rsidR="0029291A" w:rsidRPr="00095B43" w:rsidRDefault="0029291A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D8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Корпоративні операції &gt;500 т.&lt;50 млн</w:t>
            </w:r>
            <w:r w:rsidR="00D827C9"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</w:t>
            </w:r>
          </w:p>
        </w:tc>
      </w:tr>
      <w:tr w:rsidR="0029291A" w:rsidRPr="00095B43" w:rsidTr="001C5554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6470DF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6470DF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понад 50 000 000 грн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D8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Корпоративні операції&gt; 50 млн</w:t>
            </w:r>
            <w:r w:rsidR="00D827C9"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</w:t>
            </w:r>
          </w:p>
        </w:tc>
      </w:tr>
      <w:tr w:rsidR="0029291A" w:rsidRPr="00095B43" w:rsidTr="001C5554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6470DF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Зберігання цінних паперів на рахунку в цінних паперах депозитарної установи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Зберігання ОВДП</w:t>
            </w:r>
          </w:p>
        </w:tc>
      </w:tr>
      <w:tr w:rsidR="0029291A" w:rsidRPr="00095B43" w:rsidTr="001C5554">
        <w:trPr>
          <w:trHeight w:val="106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6470DF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10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 розрахунків у цінних паперах, номінованих у національній валюті, якщо такі розрахунки проведені в межах однієї депозитарної установи за принципом "поставка цінних паперів без оплати", за правочинами, укладеними поза організованим ринком капіталу (з переходом права власності) у випадках, передбачених законодавством України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D8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Облікові операції FOP </w:t>
            </w:r>
            <w:r w:rsidR="00D827C9"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 </w:t>
            </w: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межах ДУ (UAH)</w:t>
            </w:r>
          </w:p>
        </w:tc>
      </w:tr>
      <w:tr w:rsidR="0029291A" w:rsidRPr="00095B43" w:rsidTr="001C5554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B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470DF" w:rsidRPr="00095B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Проведення облікових операцій щодо державних цінних паперів, розміщених за межами України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Облікові операції з ОЗДП</w:t>
            </w:r>
          </w:p>
        </w:tc>
      </w:tr>
      <w:tr w:rsidR="0029291A" w:rsidRPr="00095B43" w:rsidTr="001C5554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B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6470DF" w:rsidRPr="00095B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Зберігання (облік) державних цінних паперів, розміщених за межами України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Зберігання ОЗДП</w:t>
            </w:r>
          </w:p>
        </w:tc>
      </w:tr>
      <w:tr w:rsidR="0029291A" w:rsidRPr="00095B43" w:rsidTr="001C5554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6470DF" w:rsidP="001C5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95B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 грошових розрахунків щодо державних цінних паперів, розміщених за межами України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Виплата доходів за ОЗДП</w:t>
            </w:r>
          </w:p>
        </w:tc>
      </w:tr>
      <w:tr w:rsidR="0029291A" w:rsidRPr="00095B43" w:rsidTr="001C5554">
        <w:trPr>
          <w:trHeight w:val="636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IV. Тарифи на послуги (операції), що надаються (здійснюються) Національним банком під час виконання функції депозитарної установи для депонентів Національного банку</w:t>
            </w:r>
          </w:p>
        </w:tc>
      </w:tr>
      <w:tr w:rsidR="0029291A" w:rsidRPr="00095B43" w:rsidTr="001C5554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3B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Відкриття рахунку в цінних паперах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282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Відкриття рахунку </w:t>
            </w:r>
          </w:p>
        </w:tc>
      </w:tr>
      <w:tr w:rsidR="0029291A" w:rsidRPr="00095B43" w:rsidTr="001C5554">
        <w:trPr>
          <w:trHeight w:val="8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3B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Абонентська плата за супроводження рахунку в цінних паперах депонента в системі депозитарного обліку Національного банку (уключаючи надання інформаційних довідок із системи депозитарного обліку Національного банку та інформаційних </w:t>
            </w: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повідомлень щодо державних цінних паперів, розміщених за межами України)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Абонплата та інформаційні операції</w:t>
            </w:r>
          </w:p>
        </w:tc>
      </w:tr>
      <w:tr w:rsidR="0029291A" w:rsidRPr="00095B43" w:rsidTr="001C5554">
        <w:trPr>
          <w:trHeight w:val="8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3B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Відображення в системі депозитарного обліку Національного банку правочину, який включено в </w:t>
            </w:r>
            <w:proofErr w:type="spellStart"/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неттінгові</w:t>
            </w:r>
            <w:proofErr w:type="spellEnd"/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розрахунки / проведення операцій між балансовими рахунками депонента, уключаючи блокування, розблокування цінних паперів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D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Операції на організованому ринку</w:t>
            </w:r>
            <w:r w:rsidR="00593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proofErr w:type="spellStart"/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неттінг</w:t>
            </w:r>
            <w:proofErr w:type="spellEnd"/>
          </w:p>
        </w:tc>
      </w:tr>
      <w:tr w:rsidR="0029291A" w:rsidRPr="00095B43" w:rsidTr="001C5554">
        <w:trPr>
          <w:trHeight w:val="106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3B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 розрахунків у цінних паперах, проведених за принципом "поставка цінних паперів проти оплати" та "поставка цінних паперів без оплати", укладених поза організованим ринком капіталу у випадках, передбачених законодавством України (в тому числі без переходу права власності)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DVP/FOP поза організованим ринком</w:t>
            </w:r>
          </w:p>
        </w:tc>
      </w:tr>
      <w:tr w:rsidR="006470DF" w:rsidRPr="00095B43" w:rsidTr="001C5554">
        <w:trPr>
          <w:trHeight w:val="80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F" w:rsidRPr="00095B43" w:rsidRDefault="006470DF" w:rsidP="0064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DF" w:rsidRPr="00095B43" w:rsidRDefault="006470DF" w:rsidP="0064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Виконання облікових депозитарних операцій із цінними паперами в процесі розміщення, погашення, конвертації, здійснення виплати доходів за цінними паперами в сумі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0DF" w:rsidRPr="00095B43" w:rsidRDefault="006470DF" w:rsidP="0064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</w:tr>
      <w:tr w:rsidR="006470DF" w:rsidRPr="00095B43" w:rsidTr="001C5554">
        <w:trPr>
          <w:trHeight w:val="80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F" w:rsidRPr="00095B43" w:rsidRDefault="0064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DF" w:rsidRPr="00095B43" w:rsidRDefault="006470DF" w:rsidP="0064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500 000 грн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DF" w:rsidRPr="00095B43" w:rsidRDefault="006470DF" w:rsidP="0064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Корпоративні операції &lt;500 т. грн</w:t>
            </w:r>
          </w:p>
        </w:tc>
      </w:tr>
      <w:tr w:rsidR="006470DF" w:rsidRPr="00095B43" w:rsidTr="001C5554">
        <w:trPr>
          <w:trHeight w:val="80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F" w:rsidRPr="00095B43" w:rsidRDefault="006470DF" w:rsidP="0064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DF" w:rsidRPr="00095B43" w:rsidRDefault="006470DF" w:rsidP="006470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 500 000 грн до 50 000 000 грн</w:t>
            </w:r>
          </w:p>
          <w:p w:rsidR="006470DF" w:rsidRPr="00095B43" w:rsidRDefault="006470DF" w:rsidP="0064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DF" w:rsidRPr="00095B43" w:rsidRDefault="006470DF" w:rsidP="00D8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Корпоративні операції &gt;500 т.&lt;50 млн</w:t>
            </w:r>
            <w:r w:rsidR="00D827C9"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</w:t>
            </w:r>
          </w:p>
        </w:tc>
      </w:tr>
      <w:tr w:rsidR="006470DF" w:rsidRPr="00095B43" w:rsidTr="001C5554">
        <w:trPr>
          <w:trHeight w:val="80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DF" w:rsidRPr="00095B43" w:rsidRDefault="006470DF" w:rsidP="0064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DF" w:rsidRPr="00095B43" w:rsidRDefault="006470DF" w:rsidP="0064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понад 50 000 000 грн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DF" w:rsidRPr="00095B43" w:rsidRDefault="006470DF" w:rsidP="00D8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Корпоративні операції&gt; 50 млн</w:t>
            </w:r>
            <w:r w:rsidR="00D827C9"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</w:t>
            </w:r>
          </w:p>
        </w:tc>
      </w:tr>
      <w:tr w:rsidR="0029291A" w:rsidRPr="00095B43" w:rsidTr="001C5554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6470DF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3B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Зберігання цінних паперів на рахунку в цінних паперах депонента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Зберігання ОВДП </w:t>
            </w:r>
          </w:p>
        </w:tc>
      </w:tr>
      <w:tr w:rsidR="0029291A" w:rsidRPr="00095B43" w:rsidTr="001C5554">
        <w:trPr>
          <w:trHeight w:val="106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6470DF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3B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 розрахунків у цінних паперах, номінованих у національній валюті, якщо такі розрахунки проведені в межах депозитарної установи за принципом "поставка цінних паперів без оплати", за правочинами, укладеними поза організованим ринком капіталу (з переходом права власності) у випадках, передбачених законодавством України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D82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Облікові операції FOP </w:t>
            </w:r>
            <w:r w:rsidR="00D827C9"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 </w:t>
            </w: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межах ДУ (UAH)</w:t>
            </w:r>
          </w:p>
        </w:tc>
      </w:tr>
      <w:tr w:rsidR="0029291A" w:rsidRPr="00095B43" w:rsidTr="001C5554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6470DF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3B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облікових операцій щодо державних цінних паперів, розміщених за межами України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Облікові операції з ОЗДП</w:t>
            </w:r>
          </w:p>
        </w:tc>
      </w:tr>
      <w:tr w:rsidR="0029291A" w:rsidRPr="00095B43" w:rsidTr="001C5554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6470DF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3B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Зберігання (облік) державних цінних паперів, розміщених за межами України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Зберігання ОЗДП</w:t>
            </w:r>
          </w:p>
        </w:tc>
      </w:tr>
      <w:tr w:rsidR="0029291A" w:rsidRPr="00095B43" w:rsidTr="001C5554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6470DF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3B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 грошових розрахунків щодо державних цінних паперів, розміщених за межами України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Виплата доходів за ОЗДП</w:t>
            </w:r>
          </w:p>
        </w:tc>
      </w:tr>
      <w:tr w:rsidR="0029291A" w:rsidRPr="00095B43" w:rsidTr="001C5554">
        <w:trPr>
          <w:trHeight w:val="636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V. Тарифи на послуги (операції) з обслуговування операцій із депозитними сертифікатами Національного банку</w:t>
            </w:r>
          </w:p>
        </w:tc>
      </w:tr>
      <w:tr w:rsidR="0029291A" w:rsidRPr="00095B43" w:rsidTr="001C5554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3B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розрахунків за коштами, залученими за депозитними сертифікатами (облік депозитних сертифікатів)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Облік депозитних сертифікатів НБУ</w:t>
            </w:r>
          </w:p>
        </w:tc>
      </w:tr>
      <w:tr w:rsidR="0029291A" w:rsidRPr="001C5554" w:rsidTr="001C5554">
        <w:trPr>
          <w:trHeight w:val="80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1A" w:rsidRPr="00095B43" w:rsidRDefault="0029291A" w:rsidP="0014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095B43" w:rsidRDefault="0029291A" w:rsidP="003B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Оформлення документів під час обслуговування рахунків з обліку коштів за депозитними сертифікатами [перереєстрація права власності на депозитні сертифікати або блокування депозитних сертифікатів для виконання угод (крім операцій з Національним банком)]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91A" w:rsidRPr="001C5554" w:rsidRDefault="0029291A" w:rsidP="009E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</w:t>
            </w:r>
            <w:r w:rsidR="00D8604E"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</w:t>
            </w:r>
            <w:r w:rsidRPr="00095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єстрація прав на ДС НБУ RVP/FOP</w:t>
            </w:r>
          </w:p>
        </w:tc>
      </w:tr>
    </w:tbl>
    <w:p w:rsidR="0029291A" w:rsidRPr="001C5554" w:rsidRDefault="0029291A">
      <w:pPr>
        <w:rPr>
          <w:rFonts w:ascii="Times New Roman" w:hAnsi="Times New Roman" w:cs="Times New Roman"/>
          <w:sz w:val="28"/>
          <w:szCs w:val="28"/>
        </w:rPr>
      </w:pPr>
    </w:p>
    <w:sectPr w:rsidR="0029291A" w:rsidRPr="001C5554" w:rsidSect="001C5554">
      <w:footerReference w:type="default" r:id="rId7"/>
      <w:pgSz w:w="11906" w:h="16838"/>
      <w:pgMar w:top="851" w:right="850" w:bottom="568" w:left="1417" w:header="1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9C" w:rsidRDefault="006F619C" w:rsidP="0029291A">
      <w:pPr>
        <w:spacing w:after="0" w:line="240" w:lineRule="auto"/>
      </w:pPr>
      <w:r>
        <w:separator/>
      </w:r>
    </w:p>
  </w:endnote>
  <w:endnote w:type="continuationSeparator" w:id="0">
    <w:p w:rsidR="006F619C" w:rsidRDefault="006F619C" w:rsidP="0029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591978"/>
      <w:docPartObj>
        <w:docPartGallery w:val="Page Numbers (Bottom of Page)"/>
        <w:docPartUnique/>
      </w:docPartObj>
    </w:sdtPr>
    <w:sdtEndPr/>
    <w:sdtContent>
      <w:p w:rsidR="001C5554" w:rsidRDefault="001C55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AC2">
          <w:rPr>
            <w:noProof/>
          </w:rPr>
          <w:t>4</w:t>
        </w:r>
        <w:r>
          <w:fldChar w:fldCharType="end"/>
        </w:r>
      </w:p>
    </w:sdtContent>
  </w:sdt>
  <w:p w:rsidR="001C5554" w:rsidRDefault="001C5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9C" w:rsidRDefault="006F619C" w:rsidP="0029291A">
      <w:pPr>
        <w:spacing w:after="0" w:line="240" w:lineRule="auto"/>
      </w:pPr>
      <w:r>
        <w:separator/>
      </w:r>
    </w:p>
  </w:footnote>
  <w:footnote w:type="continuationSeparator" w:id="0">
    <w:p w:rsidR="006F619C" w:rsidRDefault="006F619C" w:rsidP="0029291A">
      <w:pPr>
        <w:spacing w:after="0" w:line="240" w:lineRule="auto"/>
      </w:pPr>
      <w:r>
        <w:continuationSeparator/>
      </w:r>
    </w:p>
  </w:footnote>
  <w:footnote w:id="1">
    <w:p w:rsidR="00F5610A" w:rsidRPr="00282A10" w:rsidRDefault="00F5610A" w:rsidP="006B62B9">
      <w:pPr>
        <w:pStyle w:val="a9"/>
        <w:jc w:val="both"/>
        <w:rPr>
          <w:rFonts w:ascii="Arial" w:hAnsi="Arial" w:cs="Arial"/>
        </w:rPr>
      </w:pPr>
      <w:r w:rsidRPr="00282A10">
        <w:rPr>
          <w:rStyle w:val="ab"/>
          <w:rFonts w:ascii="Arial" w:hAnsi="Arial" w:cs="Arial"/>
        </w:rPr>
        <w:footnoteRef/>
      </w:r>
      <w:r w:rsidRPr="00282A10">
        <w:rPr>
          <w:rFonts w:ascii="Arial" w:hAnsi="Arial" w:cs="Arial"/>
        </w:rPr>
        <w:t xml:space="preserve"> затверджені постановою Правління Національного банку України від 12 серпня 2003 року № 333, зареєстрованою в Міністерстві юстиції України 10 вересня 2003 року за № 90/8111 (у редакції </w:t>
      </w:r>
      <w:r w:rsidR="006B62B9" w:rsidRPr="00282A10">
        <w:rPr>
          <w:rFonts w:ascii="Arial" w:hAnsi="Arial" w:cs="Arial"/>
        </w:rPr>
        <w:t xml:space="preserve">постанови </w:t>
      </w:r>
      <w:r w:rsidRPr="00282A10">
        <w:rPr>
          <w:rFonts w:ascii="Arial" w:hAnsi="Arial" w:cs="Arial"/>
        </w:rPr>
        <w:t>Правління Національного банку України від 07 березня 2019 року № 48), зі змінами</w:t>
      </w:r>
      <w:r w:rsidR="00B87CCA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1A"/>
    <w:rsid w:val="00093DB6"/>
    <w:rsid w:val="00095B43"/>
    <w:rsid w:val="000F205C"/>
    <w:rsid w:val="00145A7B"/>
    <w:rsid w:val="001839A8"/>
    <w:rsid w:val="001C5554"/>
    <w:rsid w:val="00216898"/>
    <w:rsid w:val="002429B6"/>
    <w:rsid w:val="00282A10"/>
    <w:rsid w:val="0029291A"/>
    <w:rsid w:val="00323E87"/>
    <w:rsid w:val="003B2BF9"/>
    <w:rsid w:val="0040183B"/>
    <w:rsid w:val="00482B0C"/>
    <w:rsid w:val="004B55E4"/>
    <w:rsid w:val="004D28DB"/>
    <w:rsid w:val="00527C40"/>
    <w:rsid w:val="005564B2"/>
    <w:rsid w:val="00593281"/>
    <w:rsid w:val="00606735"/>
    <w:rsid w:val="006132A5"/>
    <w:rsid w:val="00643345"/>
    <w:rsid w:val="006470DF"/>
    <w:rsid w:val="006B62B9"/>
    <w:rsid w:val="006D2A27"/>
    <w:rsid w:val="006F619C"/>
    <w:rsid w:val="00735835"/>
    <w:rsid w:val="007E0666"/>
    <w:rsid w:val="008676EA"/>
    <w:rsid w:val="00877DF9"/>
    <w:rsid w:val="008C1B03"/>
    <w:rsid w:val="008E7EC7"/>
    <w:rsid w:val="009866D6"/>
    <w:rsid w:val="009C613C"/>
    <w:rsid w:val="009D5AC2"/>
    <w:rsid w:val="009E2EF6"/>
    <w:rsid w:val="00AC1824"/>
    <w:rsid w:val="00AF4258"/>
    <w:rsid w:val="00B723DE"/>
    <w:rsid w:val="00B87CCA"/>
    <w:rsid w:val="00B90E68"/>
    <w:rsid w:val="00BF0C3B"/>
    <w:rsid w:val="00C64D9C"/>
    <w:rsid w:val="00C72F3D"/>
    <w:rsid w:val="00CC454A"/>
    <w:rsid w:val="00D247E8"/>
    <w:rsid w:val="00D37875"/>
    <w:rsid w:val="00D827C9"/>
    <w:rsid w:val="00D8604E"/>
    <w:rsid w:val="00DE43E0"/>
    <w:rsid w:val="00DF511B"/>
    <w:rsid w:val="00E5049C"/>
    <w:rsid w:val="00E97055"/>
    <w:rsid w:val="00ED79D5"/>
    <w:rsid w:val="00F5610A"/>
    <w:rsid w:val="00F95F4B"/>
    <w:rsid w:val="00FA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6F0C7"/>
  <w15:chartTrackingRefBased/>
  <w15:docId w15:val="{72DDE720-C275-45C0-812A-8865890C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9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9291A"/>
  </w:style>
  <w:style w:type="paragraph" w:styleId="a5">
    <w:name w:val="footer"/>
    <w:basedOn w:val="a"/>
    <w:link w:val="a6"/>
    <w:uiPriority w:val="99"/>
    <w:unhideWhenUsed/>
    <w:rsid w:val="002929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9291A"/>
  </w:style>
  <w:style w:type="paragraph" w:styleId="a7">
    <w:name w:val="Balloon Text"/>
    <w:basedOn w:val="a"/>
    <w:link w:val="a8"/>
    <w:uiPriority w:val="99"/>
    <w:semiHidden/>
    <w:unhideWhenUsed/>
    <w:rsid w:val="0098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866D6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F5610A"/>
    <w:pPr>
      <w:spacing w:after="0" w:line="240" w:lineRule="auto"/>
    </w:pPr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F561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5610A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B87C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7CC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B87CC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CC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B87C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356B-9340-4556-AA0E-06C73926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3992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 Тетяна Михайлівна</dc:creator>
  <cp:keywords/>
  <dc:description/>
  <cp:lastModifiedBy>Бурба Тетяна Михайлівна</cp:lastModifiedBy>
  <cp:revision>3</cp:revision>
  <dcterms:created xsi:type="dcterms:W3CDTF">2023-06-12T10:36:00Z</dcterms:created>
  <dcterms:modified xsi:type="dcterms:W3CDTF">2023-06-15T14:25:00Z</dcterms:modified>
</cp:coreProperties>
</file>