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73A">
        <w:rPr>
          <w:rFonts w:ascii="Times New Roman" w:hAnsi="Times New Roman" w:cs="Times New Roman"/>
          <w:b/>
          <w:sz w:val="24"/>
        </w:rPr>
        <w:t>Контроль файла 20X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1. Перевірка належності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20, </w:t>
      </w:r>
      <w:r w:rsidRPr="00AA173A">
        <w:rPr>
          <w:rFonts w:ascii="Times New Roman" w:hAnsi="Times New Roman" w:cs="Times New Roman"/>
          <w:sz w:val="24"/>
        </w:rPr>
        <w:t>R034 до відповідних довідників.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2. Значення НРП Q007 має бути заповненим.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3. Контроль на дублюючі записи. Перевірка на наявність більше одного запису з переліком однакових значень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(Код даних про розрахунок та дотримання обов’язкових резервів), R034 (Код належності до національної/іноземної валюти) та Q007 (Календарна дата періоду утримання обов’язкових резервів).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1. Перевірка звітної дати.</w:t>
      </w:r>
      <w:r w:rsidRPr="00AA173A">
        <w:rPr>
          <w:rFonts w:ascii="Times New Roman" w:hAnsi="Times New Roman" w:cs="Times New Roman"/>
          <w:sz w:val="24"/>
        </w:rPr>
        <w:t xml:space="preserve"> Файл 20</w:t>
      </w:r>
      <w:r w:rsidRPr="00AA173A">
        <w:rPr>
          <w:rFonts w:ascii="Times New Roman" w:hAnsi="Times New Roman" w:cs="Times New Roman"/>
          <w:sz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</w:rPr>
        <w:t xml:space="preserve"> повинен надаватися станом на останню календарну дату періоду утримання – 10.MM.YYYY (значення “REPORTDATE” повинно дорівнювати “10.MM.YYYY”). При недотриманні умови надається повідомлення: “Файл повинен надаватися станом на 10 число місяця (кінцева календарна дата періоду утримання)”.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2. </w:t>
      </w:r>
      <w:r w:rsidRPr="00AA173A">
        <w:rPr>
          <w:rFonts w:ascii="Times New Roman" w:hAnsi="Times New Roman" w:cs="Times New Roman"/>
          <w:b/>
          <w:sz w:val="24"/>
        </w:rPr>
        <w:t xml:space="preserve">Для показника із значеннями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“001”, “002”, “003”, “005”, “007”, “009”, “013”, “015”, “017”, “019”, “044”, “045”, “046”, “047”, “049”, “051”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обов’язкове надання даних за всі календарні дати періоду утримання. Кількість одного значення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 (“001”, “002”, “003”, “005”, “007”, “009”, “013”, “015”, “017”, “019”, “044”, “045”, “046”, “047”, “049”, “051”) в розрізі значень </w:t>
      </w:r>
      <w:r w:rsidRPr="00AA173A">
        <w:rPr>
          <w:rFonts w:ascii="Times New Roman" w:hAnsi="Times New Roman" w:cs="Times New Roman"/>
          <w:sz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</w:rPr>
        <w:t>034 повинно дорівнювати кількості календарних днів діяльності банку в періоді утримання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20=029)]. При недотримані умови надається повідомлення: “Кількість показників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 […] із значенням R034 = […] не дорівнює кількості календарних днів діяльності банку в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3. Перевірка надання можливих значень параметрів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 (Код даних про розрахунок та дотримання обовʼязкових резервів), </w:t>
      </w:r>
      <w:r w:rsidRPr="00AA173A">
        <w:rPr>
          <w:rFonts w:ascii="Times New Roman" w:hAnsi="Times New Roman" w:cs="Times New Roman"/>
          <w:b/>
          <w:sz w:val="24"/>
        </w:rPr>
        <w:t>R034</w:t>
      </w:r>
      <w:r w:rsidRPr="00AA173A">
        <w:rPr>
          <w:rFonts w:ascii="Times New Roman" w:hAnsi="Times New Roman" w:cs="Times New Roman"/>
          <w:sz w:val="24"/>
        </w:rPr>
        <w:t xml:space="preserve"> (Код належності до національної/іноземної валюти)</w:t>
      </w:r>
      <w:r w:rsidRPr="00AA173A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 xml:space="preserve">20 в довіднику KOD_20 “Довідник можливих сполучень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20, R034 </w:t>
      </w:r>
      <w:r w:rsidRPr="00AA173A">
        <w:rPr>
          <w:rFonts w:ascii="Times New Roman" w:hAnsi="Times New Roman" w:cs="Times New Roman"/>
          <w:sz w:val="24"/>
          <w:szCs w:val="24"/>
        </w:rPr>
        <w:t xml:space="preserve">файла 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 xml:space="preserve">]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]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довідником KOD_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”.</w:t>
      </w:r>
    </w:p>
    <w:p w:rsidR="001961C3" w:rsidRPr="00AA173A" w:rsidRDefault="001961C3" w:rsidP="001961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4.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581523" w:rsidRPr="00AA173A">
        <w:rPr>
          <w:rFonts w:ascii="Times New Roman" w:hAnsi="Times New Roman" w:cs="Times New Roman"/>
          <w:b/>
          <w:sz w:val="24"/>
        </w:rPr>
        <w:t>20 “006”, “008”, “010”,</w:t>
      </w:r>
      <w:r w:rsidR="00AA173A" w:rsidRPr="00AA173A">
        <w:rPr>
          <w:rFonts w:ascii="Times New Roman" w:hAnsi="Times New Roman" w:cs="Times New Roman"/>
          <w:b/>
          <w:sz w:val="24"/>
        </w:rPr>
        <w:t xml:space="preserve"> “011”,</w:t>
      </w:r>
      <w:r w:rsidRPr="00AA173A">
        <w:rPr>
          <w:rFonts w:ascii="Times New Roman" w:hAnsi="Times New Roman" w:cs="Times New Roman"/>
          <w:b/>
          <w:sz w:val="24"/>
        </w:rPr>
        <w:t xml:space="preserve"> “014”, “016”, “018”, “0</w:t>
      </w:r>
      <w:r w:rsidR="00EC562C" w:rsidRPr="00AA173A">
        <w:rPr>
          <w:rFonts w:ascii="Times New Roman" w:hAnsi="Times New Roman" w:cs="Times New Roman"/>
          <w:b/>
          <w:sz w:val="24"/>
        </w:rPr>
        <w:t>20”, “029”, “048”, “050”, “052”</w:t>
      </w:r>
      <w:r w:rsidR="00AA173A" w:rsidRPr="00AA173A">
        <w:rPr>
          <w:rFonts w:ascii="Times New Roman" w:hAnsi="Times New Roman" w:cs="Times New Roman"/>
          <w:b/>
          <w:sz w:val="24"/>
        </w:rPr>
        <w:t>, “062”</w:t>
      </w:r>
      <w:r w:rsidRPr="00AA173A">
        <w:rPr>
          <w:rFonts w:ascii="Times New Roman" w:hAnsi="Times New Roman" w:cs="Times New Roman"/>
          <w:b/>
          <w:sz w:val="24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середньоарифметичних, підсумкових даних та кількісті днів діяльності банку в періоді утримання обов’язкових резервів):</w:t>
      </w:r>
    </w:p>
    <w:p w:rsidR="001961C3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4.1. Здійснюється перевірка надання даних на кінцеву календарну дату періоду утримання (НРП Q007 = 10.MM.YYYY). При недотримані умови надається повідомлення: “Для показників з середньоарифметичними та підсумковими даними в НРП Q007 повинна зазначатись кінцева календарна дата періоду.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=… R034=… Q007=…”. Помилка не є критичною.</w:t>
      </w:r>
    </w:p>
    <w:p w:rsidR="00CC4661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4.2. Здійснюється перевірка надання у файлі 20X показників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дорівнює “006”, “008”, “010”,</w:t>
      </w:r>
      <w:r w:rsidR="00AA173A" w:rsidRPr="00AA173A">
        <w:rPr>
          <w:rFonts w:ascii="Times New Roman" w:hAnsi="Times New Roman" w:cs="Times New Roman"/>
          <w:sz w:val="24"/>
        </w:rPr>
        <w:t xml:space="preserve"> “011”,</w:t>
      </w:r>
      <w:r w:rsidRPr="00AA173A">
        <w:rPr>
          <w:rFonts w:ascii="Times New Roman" w:hAnsi="Times New Roman" w:cs="Times New Roman"/>
          <w:sz w:val="24"/>
        </w:rPr>
        <w:t xml:space="preserve"> “014”, “016”, “018”, “020”, “</w:t>
      </w:r>
      <w:r w:rsidR="00EC562C" w:rsidRPr="00AA173A">
        <w:rPr>
          <w:rFonts w:ascii="Times New Roman" w:hAnsi="Times New Roman" w:cs="Times New Roman"/>
          <w:sz w:val="24"/>
        </w:rPr>
        <w:t>029”, “048”, “050”, “052”</w:t>
      </w:r>
      <w:r w:rsidR="00AA173A" w:rsidRPr="00AA173A">
        <w:rPr>
          <w:rFonts w:ascii="Times New Roman" w:hAnsi="Times New Roman" w:cs="Times New Roman"/>
          <w:sz w:val="24"/>
        </w:rPr>
        <w:t>, “062”</w:t>
      </w:r>
      <w:r w:rsidRPr="00AA173A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“У файлі відсутній показник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20=[…]</w:t>
      </w:r>
      <w:r w:rsidRPr="00AA173A">
        <w:rPr>
          <w:rFonts w:ascii="Times New Roman" w:hAnsi="Times New Roman" w:cs="Times New Roman"/>
          <w:sz w:val="24"/>
        </w:rPr>
        <w:t>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5.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 xml:space="preserve">20 “057”, “059” (Щодо ОВДП в розрізі днів)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недопустимість надання зазначених показників. Якщо у файлі 20X наявні 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FRO</w:t>
      </w:r>
      <w:r w:rsidRPr="00AA173A">
        <w:rPr>
          <w:rFonts w:ascii="Times New Roman" w:hAnsi="Times New Roman" w:cs="Times New Roman"/>
          <w:sz w:val="24"/>
        </w:rPr>
        <w:t xml:space="preserve">20 дорівнює “057”, “059”, то надається повідомлення: “Показники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20=[…] подається у разі встановлення Національним банком відповідної вимоги”.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 xml:space="preserve">6.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“005”</w:t>
      </w:r>
      <w:r w:rsidRPr="00AA173A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20=001)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20=002)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20=003)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20=044)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20=045)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20=046). При недотримані умови надається повідомлення: “Сума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20=005)] повинна дорівнювати сумі залучених банком коштів від юридичних та фізичних осіб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 R034=…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7.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20=006)]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20=006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8.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“007”</w:t>
      </w:r>
      <w:r w:rsidRPr="00AA173A">
        <w:rPr>
          <w:rFonts w:ascii="Times New Roman" w:hAnsi="Times New Roman" w:cs="Times New Roman"/>
          <w:sz w:val="24"/>
        </w:rPr>
        <w:t xml:space="preserve"> [Сума обов’язкових резервів (резервна база)] значення метрики T100 повинно дорівнювати значенню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 (Довідково: середньоарифметична сума обов’язкових резервів згідно з установленими нормативами для наступного періоду утримання) НРП Q007=10.MM-1.YYYY (за попередній звітний період). При недотримані умови надається повідомлення: “Резервна база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20=007)] повинна дорівнювати середньоарифметичній сумі обов’язкових резервів, розрахованої за попередній звітний період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9.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“008”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20=007; Q007 за всі дні періоду)]/кількість календарних днів у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10.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фактична сума залишків коштів на коррахунку банку)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коррахунку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“013”</w:t>
      </w:r>
      <w:r w:rsidRPr="00AA173A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(Календарна дата періоду):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20=007)*0%. Контроль здійснюється з точністю до 2 копійок. При недотримані умови надається повідомлення: “Сума обсягу обов’язкових резервів на коррахунку [T100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20=013)</w:t>
      </w:r>
      <w:r w:rsidRPr="00AA173A">
        <w:rPr>
          <w:rFonts w:ascii="Times New Roman" w:hAnsi="Times New Roman" w:cs="Times New Roman"/>
          <w:sz w:val="24"/>
        </w:rPr>
        <w:t xml:space="preserve">] повинна дорівнювати встановленому процентному відношенню до резервної бази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>1</w:t>
      </w:r>
      <w:r w:rsidR="00094E04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“014”</w:t>
      </w:r>
      <w:r w:rsidRPr="00AA173A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“Середньоарифметичний обсяг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20=014)]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20=014 Q007=…”. Помилка не є критичною.</w:t>
      </w:r>
    </w:p>
    <w:p w:rsidR="00CC4661" w:rsidRPr="00AA173A" w:rsidRDefault="00CC4661" w:rsidP="00CC4661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“015”</w:t>
      </w:r>
      <w:r w:rsidRPr="00AA173A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20=009) –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20=013). При недотримані умови надається повідомлення: “Сума відхилення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20=015)] повинна дорівнювати різниці між фактичною сумою залишків коштів на коррахунку та сумою обов’язкових резервів, що має зберігатися на коррахунку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для контролю за щоденними залишками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=016”.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  <w:lang w:val="ru-RU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20 </w:t>
      </w:r>
      <w:r w:rsidRPr="00AA173A">
        <w:rPr>
          <w:rFonts w:ascii="Times New Roman" w:hAnsi="Times New Roman" w:cs="Times New Roman"/>
          <w:b/>
          <w:sz w:val="24"/>
        </w:rPr>
        <w:t xml:space="preserve">дорівнює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</w:t>
      </w:r>
      <w:r w:rsidRPr="00AA173A">
        <w:rPr>
          <w:rFonts w:ascii="Times New Roman" w:hAnsi="Times New Roman" w:cs="Times New Roman"/>
          <w:b/>
          <w:sz w:val="24"/>
        </w:rPr>
        <w:t>017</w:t>
      </w:r>
      <w:r w:rsidRPr="00AA173A">
        <w:rPr>
          <w:rFonts w:ascii="Times New Roman" w:hAnsi="Times New Roman" w:cs="Times New Roman"/>
          <w:b/>
          <w:sz w:val="24"/>
          <w:lang w:val="ru-RU"/>
        </w:rPr>
        <w:t>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.1. Значення метрики T100 (Кількість випадків недорезервування коштів) повинно дорівнювати “1”,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менше 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.2. Значення метрики T100 (Кількість випадків недорезервування коштів) повинно дорівнювати “0”,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6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“018”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Q007=11.MM-1.YYYY)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Q007=12.MM-1.YYYY) + …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Q007=10.MM.YYYY). При недотримані умови надається повідомлення: “Кількість випадків недорезервування коштів за період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20=018)]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20=018”. Помилка не є критичною.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  <w:szCs w:val="24"/>
        </w:rPr>
        <w:t>7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 xml:space="preserve">Для показника зі значенням параметра </w:t>
      </w:r>
      <w:r w:rsidRPr="00AA173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>20 дорівнює “019”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(Сума обов’язкових резервів згідно з установленими нормативами для наступного періоду утримання) значення </w:t>
      </w:r>
      <w:r w:rsidRPr="00AA173A">
        <w:rPr>
          <w:rFonts w:ascii="Times New Roman" w:hAnsi="Times New Roman" w:cs="Times New Roman"/>
          <w:sz w:val="24"/>
          <w:szCs w:val="24"/>
        </w:rPr>
        <w:lastRenderedPageBreak/>
        <w:t>метрики T100 повинно дорівнювати значенню, яке розраховується за формулою в розрізі НРП Q007 (Календарна дата періоду): T100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173A">
        <w:rPr>
          <w:rFonts w:ascii="Times New Roman" w:hAnsi="Times New Roman" w:cs="Times New Roman"/>
          <w:sz w:val="24"/>
          <w:szCs w:val="24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20=003, R034=1; 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20=045, R034=1)*0% + Т100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20=046, R034=1)*10% + Т100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20=001, R034=1; 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20=002, R034=1)*20% + Т100</w:t>
      </w:r>
      <w:r w:rsidRPr="00AA173A">
        <w:rPr>
          <w:lang w:val="en-US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20=044, R034=1)*10% + Т100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20=003, R034=2; 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20=045, R034=2</w:t>
      </w:r>
      <w:r w:rsidRPr="00AA173A">
        <w:rPr>
          <w:rFonts w:ascii="Times New Roman" w:hAnsi="Times New Roman" w:cs="Times New Roman"/>
          <w:sz w:val="24"/>
          <w:szCs w:val="24"/>
        </w:rPr>
        <w:t>)*10% + T100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20=046, R034=2)</w:t>
      </w:r>
      <w:r w:rsidRPr="00AA173A">
        <w:rPr>
          <w:rFonts w:ascii="Times New Roman" w:hAnsi="Times New Roman" w:cs="Times New Roman"/>
          <w:sz w:val="24"/>
          <w:szCs w:val="24"/>
        </w:rPr>
        <w:t>*20% + T100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20=001, R034=</w:t>
      </w:r>
      <w:r w:rsidR="00F84080"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20=002, R034=2)*30% + </w:t>
      </w:r>
      <w:r w:rsidRPr="00AA173A">
        <w:rPr>
          <w:rFonts w:ascii="Times New Roman" w:hAnsi="Times New Roman" w:cs="Times New Roman"/>
          <w:sz w:val="24"/>
          <w:szCs w:val="24"/>
        </w:rPr>
        <w:t>T100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20=044, R034=2)</w:t>
      </w:r>
      <w:r w:rsidRPr="00AA173A">
        <w:rPr>
          <w:rFonts w:ascii="Times New Roman" w:hAnsi="Times New Roman" w:cs="Times New Roman"/>
          <w:sz w:val="24"/>
          <w:szCs w:val="24"/>
        </w:rPr>
        <w:t>*20%.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 (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 xml:space="preserve">20=019)] не дорівнює сумі, розрахованої за нормативами обов’язкового резервування […]. Для аналізу: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>20=019 Q007=…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8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“020”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визначення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для наступного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20=020”.</w:t>
      </w:r>
    </w:p>
    <w:p w:rsidR="00CC4661" w:rsidRPr="00AA173A" w:rsidRDefault="00EF070D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19</w:t>
      </w:r>
      <w:r w:rsidR="00CC4661"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="00CC4661"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b/>
          <w:sz w:val="24"/>
        </w:rPr>
        <w:t>20 дорівнює “048”</w:t>
      </w:r>
      <w:r w:rsidR="00CC4661"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20=047; Q007 за всі дні періоду)]/кількість календарних днів у періоді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рахунку умовного зберігання (ескроу) банку в Національному банку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 xml:space="preserve">20=048)] не дорівнює її розрахунковій сумі за весь період утримання […]. Для аналізу: 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  <w:lang w:val="ru-RU"/>
        </w:rPr>
        <w:t>20</w:t>
      </w:r>
      <w:r w:rsidR="00CC4661" w:rsidRPr="00AA173A">
        <w:rPr>
          <w:rFonts w:ascii="Times New Roman" w:hAnsi="Times New Roman" w:cs="Times New Roman"/>
          <w:sz w:val="24"/>
        </w:rPr>
        <w:t>=</w:t>
      </w:r>
      <w:r w:rsidR="00CC4661" w:rsidRPr="00AA173A">
        <w:rPr>
          <w:rFonts w:ascii="Times New Roman" w:hAnsi="Times New Roman" w:cs="Times New Roman"/>
          <w:sz w:val="24"/>
          <w:lang w:val="ru-RU"/>
        </w:rPr>
        <w:t>048</w:t>
      </w:r>
      <w:r w:rsidR="00CC4661" w:rsidRPr="00AA173A">
        <w:rPr>
          <w:rFonts w:ascii="Times New Roman" w:hAnsi="Times New Roman" w:cs="Times New Roman"/>
          <w:sz w:val="24"/>
        </w:rPr>
        <w:t>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  <w:lang w:val="ru-RU"/>
        </w:rPr>
        <w:t>0</w:t>
      </w:r>
      <w:r w:rsidRPr="00AA173A">
        <w:rPr>
          <w:rFonts w:ascii="Times New Roman" w:hAnsi="Times New Roman" w:cs="Times New Roman"/>
          <w:b/>
          <w:sz w:val="24"/>
        </w:rPr>
        <w:t>. Для показника зі значенням параметра FOR20 дорівнює “049”</w:t>
      </w:r>
      <w:r w:rsidRPr="00AA173A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=009)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=047)]</w:t>
      </w:r>
      <w:r w:rsidRPr="00AA173A">
        <w:rPr>
          <w:rFonts w:ascii="Times New Roman" w:hAnsi="Times New Roman" w:cs="Times New Roman"/>
          <w:sz w:val="24"/>
          <w:lang w:val="ru-RU"/>
        </w:rPr>
        <w:t>.</w:t>
      </w:r>
      <w:r w:rsidRPr="00AA173A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=049)] не дорівнює її розрахунковій сумі в розрізі значень НРП Q007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“050”</w:t>
      </w:r>
      <w:r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=050)]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“051”</w:t>
      </w:r>
      <w:r w:rsidRPr="00AA173A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банку в Національному банку та на рахунку умовного </w:t>
      </w:r>
      <w:r w:rsidRPr="00AA173A">
        <w:rPr>
          <w:rFonts w:ascii="Times New Roman" w:hAnsi="Times New Roman" w:cs="Times New Roman"/>
          <w:sz w:val="24"/>
        </w:rPr>
        <w:lastRenderedPageBreak/>
        <w:t>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20=007). При недотримані умови надається повідомлення: “Сума відхилення залишків коштів на коррахунку та на рахунку умовного зберігання (ескроу)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20=051)] не дорівнює розрахунковій різниці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20=007)].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“052”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залишків коштів на коррахунку та на рахунку умовного зберігання (ескроу) від суми обов'язкових резервів для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20=052)]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20=052”.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ОВДП, з ISIN, призначеними починаючи з 01.01.2023 року, які можуть зараховуватись у покриття обов’язкових резервів, за період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20=055;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ОВДП, з ISIN, призначеними починаючи з 01.01.2023 року, які можуть зараховуватись у покриття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20=056”. Помилка не є критичною.</w:t>
      </w:r>
    </w:p>
    <w:p w:rsidR="001961C3" w:rsidRPr="00AA173A" w:rsidRDefault="00CC4661" w:rsidP="00CC4661">
      <w:pPr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“060”</w:t>
      </w:r>
      <w:r w:rsidRPr="00AA173A">
        <w:rPr>
          <w:rFonts w:ascii="Times New Roman" w:hAnsi="Times New Roman" w:cs="Times New Roman"/>
          <w:sz w:val="24"/>
        </w:rPr>
        <w:t xml:space="preserve"> [Відхилення середньоарифметичної суми залишків коштів на коррахунку банку в Національному банку та на рахунку умовного зберігання (ескроу) банку в Національному банку з урахуванням суми ОВДП, що зараховується у покриття обовʼязкових резервів від суми обов’язкових резервів для періоду утримання] значення метрики T100 повинно дорівнювати значенню, яка розраховується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20=008). При недотримані умови надається повідомлення: “Сума відхилення середньоарифметичної суми залишків коштів на коррахунку та на рахунку умовного зберігання (ескроу) з урахуванням ОВДП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20=060)] не дорівнює розрахунковому значенню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20=060”. Помилка не є критичною.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26. Для показника зі значенням параметра FOR20 дорівнює “011”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[Середньоарифметична сума строкових коштів і вкладів (депозитів) фізичних осіб з початковим строком погашення до 92-х календарних днів (включно)]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  <w:lang w:val="ru-RU"/>
        </w:rPr>
        <w:lastRenderedPageBreak/>
        <w:t>26</w:t>
      </w:r>
      <w:r w:rsidRPr="00AA173A">
        <w:rPr>
          <w:rFonts w:ascii="Times New Roman" w:hAnsi="Times New Roman" w:cs="Times New Roman"/>
          <w:sz w:val="24"/>
          <w:szCs w:val="24"/>
        </w:rPr>
        <w:t>.1.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173A">
        <w:rPr>
          <w:rFonts w:ascii="Times New Roman" w:hAnsi="Times New Roman" w:cs="Times New Roman"/>
          <w:sz w:val="24"/>
          <w:szCs w:val="24"/>
        </w:rPr>
        <w:t xml:space="preserve">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26.2.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(файла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звітний період)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(FOR20=001,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строкових коштів і вкладів (депозитів) фізичних осіб з початковим строком погашення до 92-х календарних днів (включно) [T100 (FOR20=011)] не дорівнює її розрахунковій сумі за попередній звітний період […] (період визначення). Для аналізу: FOR20=011 R034=…”. Помилка не є критичною.</w:t>
      </w:r>
    </w:p>
    <w:p w:rsidR="00AA173A" w:rsidRPr="00AA173A" w:rsidRDefault="00AA173A" w:rsidP="00AA1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27. Для показника зі значенням параметра FOR20 дорівнює “062”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(Середньоарифметична сума коштів вкладів (депозитів) фізичних осіб на вимогу)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315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</w:t>
      </w:r>
      <w:r w:rsidRPr="00AA173A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AA173A">
        <w:rPr>
          <w:rFonts w:ascii="Times New Roman" w:hAnsi="Times New Roman" w:cs="Times New Roman"/>
          <w:bCs/>
          <w:sz w:val="24"/>
          <w:szCs w:val="24"/>
        </w:rPr>
        <w:t>.1.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НБУ,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27.2.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(FOR20=002,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коштів вкладів (депозитів) фізичних осіб на вимогу [T100 (FOR20=062)] не дорівнює її розрахунковій сумі за попередній звітний період […] (період визначення). Для аналізу: FOR20=062 R034=…”. Помилка не є критичною.</w:t>
      </w:r>
    </w:p>
    <w:sectPr w:rsidR="00AA173A" w:rsidRPr="00AA1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15" w:rsidRDefault="004E5615" w:rsidP="00EE735B">
      <w:pPr>
        <w:spacing w:after="0" w:line="240" w:lineRule="auto"/>
      </w:pPr>
      <w:r>
        <w:separator/>
      </w:r>
    </w:p>
  </w:endnote>
  <w:endnote w:type="continuationSeparator" w:id="0">
    <w:p w:rsidR="004E5615" w:rsidRDefault="004E5615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15" w:rsidRDefault="004E5615" w:rsidP="00EE735B">
      <w:pPr>
        <w:spacing w:after="0" w:line="240" w:lineRule="auto"/>
      </w:pPr>
      <w:r>
        <w:separator/>
      </w:r>
    </w:p>
  </w:footnote>
  <w:footnote w:type="continuationSeparator" w:id="0">
    <w:p w:rsidR="004E5615" w:rsidRDefault="004E5615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B5800"/>
    <w:rsid w:val="000C37C0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4F4E"/>
    <w:rsid w:val="0024103A"/>
    <w:rsid w:val="002416FE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594"/>
    <w:rsid w:val="00461D42"/>
    <w:rsid w:val="0047370E"/>
    <w:rsid w:val="004775BA"/>
    <w:rsid w:val="00477655"/>
    <w:rsid w:val="004835C8"/>
    <w:rsid w:val="004A6D9B"/>
    <w:rsid w:val="004D47DC"/>
    <w:rsid w:val="004D4C8D"/>
    <w:rsid w:val="004E02E7"/>
    <w:rsid w:val="004E5615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10183"/>
    <w:rsid w:val="00711C5F"/>
    <w:rsid w:val="00712261"/>
    <w:rsid w:val="007163BF"/>
    <w:rsid w:val="007176C1"/>
    <w:rsid w:val="00745BD0"/>
    <w:rsid w:val="00746422"/>
    <w:rsid w:val="0075095F"/>
    <w:rsid w:val="00756E74"/>
    <w:rsid w:val="00757556"/>
    <w:rsid w:val="00763D6F"/>
    <w:rsid w:val="007710D5"/>
    <w:rsid w:val="00773BB9"/>
    <w:rsid w:val="007848BD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888"/>
    <w:rsid w:val="009163E0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85187"/>
    <w:rsid w:val="009948E2"/>
    <w:rsid w:val="009B1C77"/>
    <w:rsid w:val="009B5020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912C1"/>
    <w:rsid w:val="00AA1675"/>
    <w:rsid w:val="00AA173A"/>
    <w:rsid w:val="00AA1D00"/>
    <w:rsid w:val="00AA34F8"/>
    <w:rsid w:val="00AB2B64"/>
    <w:rsid w:val="00AC463D"/>
    <w:rsid w:val="00AD4F36"/>
    <w:rsid w:val="00AF0C7F"/>
    <w:rsid w:val="00B05B18"/>
    <w:rsid w:val="00B06DC0"/>
    <w:rsid w:val="00B14BBC"/>
    <w:rsid w:val="00B216E7"/>
    <w:rsid w:val="00B24A13"/>
    <w:rsid w:val="00B24BA7"/>
    <w:rsid w:val="00B30398"/>
    <w:rsid w:val="00B324E4"/>
    <w:rsid w:val="00B4045A"/>
    <w:rsid w:val="00B470F9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E0188"/>
    <w:rsid w:val="00CE027A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7A0A"/>
    <w:rsid w:val="00E976EE"/>
    <w:rsid w:val="00EA1BA6"/>
    <w:rsid w:val="00EB6957"/>
    <w:rsid w:val="00EC1B8D"/>
    <w:rsid w:val="00EC562C"/>
    <w:rsid w:val="00EE2434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13268</Words>
  <Characters>7563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2023-08-10T11:13:00Z</dcterms:created>
  <dcterms:modified xsi:type="dcterms:W3CDTF">2023-08-10T11:13:00Z</dcterms:modified>
</cp:coreProperties>
</file>