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недорезервування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випадок недорезервування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недорезервування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недорезервування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випадків недорезервування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недорезервування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D7D3C79" w:rsidR="00F6128A" w:rsidRPr="00EF3D7E" w:rsidRDefault="00BC1755" w:rsidP="00F6128A">
      <w:pPr>
        <w:spacing w:after="0" w:line="240" w:lineRule="auto"/>
        <w:ind w:firstLine="709"/>
        <w:jc w:val="both"/>
        <w:rPr>
          <w:rFonts w:ascii="Times New Roman" w:eastAsia="Times New Roman" w:hAnsi="Times New Roman" w:cs="Times New Roman"/>
          <w:sz w:val="28"/>
          <w:szCs w:val="28"/>
          <w:lang w:eastAsia="uk-UA"/>
        </w:rPr>
      </w:pPr>
      <w:r w:rsidRPr="00BC1755">
        <w:rPr>
          <w:rFonts w:ascii="Times New Roman" w:eastAsia="Times New Roman" w:hAnsi="Times New Roman" w:cs="Times New Roman"/>
          <w:sz w:val="28"/>
          <w:szCs w:val="28"/>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B20002, B20004, B20044, B20045, B20046.</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8B0A503" w14:textId="77777777" w:rsidR="00421579" w:rsidRPr="00EF3D7E" w:rsidRDefault="00421579" w:rsidP="0042157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обов’язкових резервів згідно з установленими нормативами для наступного періоду утримання за кожну дату поточного періоду визначення.</w:t>
      </w:r>
    </w:p>
    <w:p w14:paraId="3CE46922" w14:textId="1BB71E50" w:rsidR="00F6128A" w:rsidRPr="00421579" w:rsidRDefault="00421579" w:rsidP="00421579">
      <w:pPr>
        <w:spacing w:after="0" w:line="240" w:lineRule="auto"/>
        <w:ind w:firstLine="709"/>
        <w:jc w:val="both"/>
        <w:rPr>
          <w:rFonts w:ascii="Times New Roman" w:eastAsia="Times New Roman" w:hAnsi="Times New Roman" w:cs="Times New Roman"/>
          <w:sz w:val="28"/>
          <w:szCs w:val="28"/>
          <w:lang w:eastAsia="uk-UA"/>
        </w:rPr>
      </w:pPr>
      <w:r w:rsidRPr="00421579">
        <w:rPr>
          <w:rFonts w:ascii="Times New Roman" w:eastAsia="Times New Roman" w:hAnsi="Times New Roman" w:cs="Times New Roman"/>
          <w:sz w:val="28"/>
          <w:szCs w:val="28"/>
          <w:lang w:eastAsia="uk-UA"/>
        </w:rPr>
        <w:t>Показник розраховується за формулою: [T100 (EKP=B20004, R034=1; EKP=B20045,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фізичних осіб у національній валюті] + [T100 (EKP=B20046,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осіб у національній валюті) + [T100 (EKP=B20002, R034=1]*(на визначений розпорядчим актом Національного банку України норматив обов’язкового резервування для коштів на вимогу і коштів на поточних рахунках фізичних осіб у національній валюті) + [T100 (EKP=B20044,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(EKP=B20004, R034=2; EKP=B20045,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фізичних осіб в іноземній валюті] + [T100 (EKP=B20046,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осіб в іноземній валюті) + [T100 (EKP=B20002, R034=2)]*(на визначений розпорядчим актом Національного банку України норматив обов’язкового резервування для коштів на вимогу і коштів на поточних рахунках фізичних осіб в іноземній валюті) + [T100 (EKP=B20044,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язкового резервування та який буде діяти у </w:t>
      </w:r>
      <w:r w:rsidRPr="00EF3D7E">
        <w:rPr>
          <w:rFonts w:ascii="Times New Roman" w:eastAsia="Times New Roman" w:hAnsi="Times New Roman" w:cs="Times New Roman"/>
          <w:sz w:val="28"/>
          <w:szCs w:val="28"/>
          <w:lang w:eastAsia="uk-UA"/>
        </w:rPr>
        <w:lastRenderedPageBreak/>
        <w:t>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w:t>
      </w:r>
      <w:r w:rsidRPr="00EF3D7E">
        <w:rPr>
          <w:rFonts w:ascii="Times New Roman" w:eastAsia="Times New Roman" w:hAnsi="Times New Roman" w:cs="Times New Roman"/>
          <w:sz w:val="28"/>
          <w:szCs w:val="28"/>
          <w:lang w:eastAsia="uk-UA"/>
        </w:rPr>
        <w:lastRenderedPageBreak/>
        <w:t>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22907534"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w:t>
      </w:r>
      <w:r w:rsidR="003904B8">
        <w:rPr>
          <w:rFonts w:ascii="Times New Roman" w:eastAsia="Times New Roman" w:hAnsi="Times New Roman" w:cs="Times New Roman"/>
          <w:sz w:val="28"/>
          <w:szCs w:val="28"/>
          <w:lang w:eastAsia="uk-UA"/>
        </w:rPr>
        <w:t xml:space="preserve"> 2533,</w:t>
      </w:r>
      <w:r w:rsidRPr="000423A3">
        <w:rPr>
          <w:rFonts w:ascii="Times New Roman" w:eastAsia="Times New Roman" w:hAnsi="Times New Roman" w:cs="Times New Roman"/>
          <w:sz w:val="28"/>
          <w:szCs w:val="28"/>
          <w:lang w:eastAsia="uk-UA"/>
        </w:rPr>
        <w:t xml:space="preserve">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w:t>
      </w:r>
      <w:r w:rsidRPr="000423A3">
        <w:rPr>
          <w:rFonts w:ascii="Times New Roman" w:eastAsia="Times New Roman" w:hAnsi="Times New Roman" w:cs="Times New Roman"/>
          <w:sz w:val="28"/>
          <w:szCs w:val="28"/>
          <w:lang w:eastAsia="uk-UA"/>
        </w:rPr>
        <w:lastRenderedPageBreak/>
        <w:t>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(ескроу)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(ескроу)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(ескроу)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(ескроу)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(ескроу)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(ескроу)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(ескроу)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0DCA692A"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 xml:space="preserve">Зазначається відхилення середньоарифметичної фактичної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облігацій внутрішньої державної позики (далі – ОВДП), що зараховується у покриття обов’язкових резервів* від суми обов’язкових резервів для періоду утримання. </w:t>
      </w:r>
    </w:p>
    <w:p w14:paraId="29312010"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Розраховується за даними показника B20050, з врахуванням суми ОВДП, що зараховується у покриття обов’язкових резервів та показника В20008.</w:t>
      </w:r>
    </w:p>
    <w:p w14:paraId="4033B37A" w14:textId="2A667457" w:rsidR="00653BD9" w:rsidRPr="00EF3D7E"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lastRenderedPageBreak/>
        <w:t>*Сума ОВДП, що зараховується у покриття обов’язкових резервів відповідно до поряду зарахування та переліку, визначених Рішенням Правління Національного банку України “Про формування та зберігання обов’язкових резервів”, від 23 листопада 2017 року №</w:t>
      </w:r>
      <w:r>
        <w:rPr>
          <w:rFonts w:ascii="Times New Roman" w:eastAsia="Times New Roman" w:hAnsi="Times New Roman" w:cs="Times New Roman"/>
          <w:sz w:val="28"/>
          <w:szCs w:val="28"/>
          <w:lang w:eastAsia="uk-UA"/>
        </w:rPr>
        <w:t> </w:t>
      </w:r>
      <w:r w:rsidRPr="00134DC8">
        <w:rPr>
          <w:rFonts w:ascii="Times New Roman" w:eastAsia="Times New Roman" w:hAnsi="Times New Roman" w:cs="Times New Roman"/>
          <w:sz w:val="28"/>
          <w:szCs w:val="28"/>
          <w:lang w:eastAsia="uk-UA"/>
        </w:rPr>
        <w:t>752-рш (зі змінами).</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1F7AF07" w14:textId="77777777" w:rsidR="00134DC8" w:rsidRPr="00134DC8" w:rsidRDefault="00653BD9" w:rsidP="00134DC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134DC8" w:rsidRPr="00134DC8">
        <w:rPr>
          <w:rFonts w:ascii="Times New Roman" w:eastAsia="Times New Roman" w:hAnsi="Times New Roman" w:cs="Times New Roman"/>
          <w:sz w:val="28"/>
          <w:szCs w:val="28"/>
          <w:lang w:eastAsia="uk-UA"/>
        </w:rPr>
        <w:t>сума відхилення середньоарифметичної фактичної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p w14:paraId="46028A2A"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Cума ОВДП, що зараховується у покриття обов’язкових резервів в періоді утримання обов’язкових резервів, який починається 11 січня 2023 року, і у подальших періодах утримання, розраховується як середньоарифметичне значення сум залишків ОВДП, з міжнародними ідентифікаційними номерами цінних паперів (ISIN), призначеними починаючи з 01.01.2023 року, за даними файлу C5X “Додаткові дані для розрахунку економічних нормативів” як сума ОВДП за аналітичними рахунками: 1400 (Т020=1, R013= 2), 1410 (Т020=1, R013= 2), 1420 (Т020=1, R013= 2).</w:t>
      </w:r>
    </w:p>
    <w:p w14:paraId="5C60CFC0" w14:textId="648E5E90" w:rsidR="00506DB3" w:rsidRPr="00506DB3" w:rsidRDefault="00506DB3" w:rsidP="00506DB3">
      <w:pPr>
        <w:spacing w:after="0" w:line="240" w:lineRule="auto"/>
        <w:ind w:firstLine="709"/>
        <w:jc w:val="both"/>
        <w:rPr>
          <w:rFonts w:ascii="Times New Roman" w:eastAsia="Times New Roman" w:hAnsi="Times New Roman" w:cs="Times New Roman"/>
          <w:sz w:val="28"/>
          <w:szCs w:val="28"/>
          <w:lang w:eastAsia="uk-UA"/>
        </w:rPr>
      </w:pPr>
      <w:r w:rsidRPr="00506DB3">
        <w:rPr>
          <w:rFonts w:ascii="Times New Roman" w:eastAsia="Times New Roman" w:hAnsi="Times New Roman" w:cs="Times New Roman"/>
          <w:sz w:val="28"/>
          <w:szCs w:val="28"/>
          <w:lang w:eastAsia="uk-UA"/>
        </w:rPr>
        <w:t xml:space="preserve">Сума ОВДП, що зараховується у покриття обов’язкових резервів в періоді утримання обов’язкових резервів, який починається 11 березня 2023 року, і у подальших періодах утримання, не може бути більше 50% суми обов’язкових резервів, в покриття якої можуть зараховуватись ОВДП, для відповідного періоду утримання, яка розраховується за формулою: </w:t>
      </w:r>
      <w:r>
        <w:rPr>
          <w:rFonts w:ascii="Times New Roman" w:eastAsia="Times New Roman" w:hAnsi="Times New Roman" w:cs="Times New Roman"/>
          <w:sz w:val="28"/>
          <w:szCs w:val="28"/>
          <w:lang w:eastAsia="uk-UA"/>
        </w:rPr>
        <w:t>[</w:t>
      </w:r>
      <w:r w:rsidRPr="00506DB3">
        <w:rPr>
          <w:rFonts w:ascii="Times New Roman" w:eastAsia="Times New Roman" w:hAnsi="Times New Roman" w:cs="Times New Roman"/>
          <w:sz w:val="28"/>
          <w:szCs w:val="28"/>
          <w:lang w:eastAsia="uk-UA"/>
        </w:rPr>
        <w:t>Т100 (ЕKР=В20008) – (середньоарифметичне значення показника В20002 у національній валюті за період визначення)*10% – (середньоарифметичне значення показника В20002 в іноземній валюті за період визначення)*10%].</w:t>
      </w:r>
    </w:p>
    <w:p w14:paraId="678F7558" w14:textId="77777777" w:rsidR="00506DB3" w:rsidRDefault="00506DB3" w:rsidP="00506DB3">
      <w:pPr>
        <w:spacing w:after="0" w:line="240" w:lineRule="auto"/>
        <w:ind w:firstLine="709"/>
        <w:jc w:val="both"/>
        <w:rPr>
          <w:rFonts w:ascii="Times New Roman" w:eastAsia="Times New Roman" w:hAnsi="Times New Roman" w:cs="Times New Roman"/>
          <w:sz w:val="28"/>
          <w:szCs w:val="28"/>
          <w:lang w:eastAsia="uk-UA"/>
        </w:rPr>
      </w:pPr>
      <w:r w:rsidRPr="00506DB3">
        <w:rPr>
          <w:rFonts w:ascii="Times New Roman" w:eastAsia="Times New Roman" w:hAnsi="Times New Roman" w:cs="Times New Roman"/>
          <w:sz w:val="28"/>
          <w:szCs w:val="28"/>
          <w:lang w:eastAsia="uk-UA"/>
        </w:rPr>
        <w:t>Середньоарифметичне значення показника В20002 за період визначення розраховується в розрізі ознаки належності до національної/іноземної валюти (R034): [T100 (EKP=B20002, Q007=перша дата періоду) + T100 (EKP=B20002, Q007=друга дата періоду) + ... + T100 (EKP=B20002, Q007=остання дата періоду)]/T100 (EKP=B20029).</w:t>
      </w:r>
    </w:p>
    <w:p w14:paraId="73B3B6E6" w14:textId="589E0A03" w:rsidR="00653BD9" w:rsidRPr="00EF3D7E" w:rsidRDefault="00134DC8" w:rsidP="00506DB3">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Показник розраховується за формулою: [T100 (EKP=B20050) + Сума ОВДП, що зараховується у покриття обов’язкових резервів у відповідному періоді утримання - T100 (EKP=B20008)</w:t>
      </w:r>
      <w:r w:rsidR="00506DB3">
        <w:rPr>
          <w:rFonts w:ascii="Times New Roman" w:eastAsia="Times New Roman" w:hAnsi="Times New Roman" w:cs="Times New Roman"/>
          <w:sz w:val="28"/>
          <w:szCs w:val="28"/>
          <w:lang w:eastAsia="uk-UA"/>
        </w:rPr>
        <w:t>]</w:t>
      </w:r>
      <w:r w:rsidRPr="00134DC8">
        <w:rPr>
          <w:rFonts w:ascii="Times New Roman" w:eastAsia="Times New Roman" w:hAnsi="Times New Roman" w:cs="Times New Roman"/>
          <w:sz w:val="28"/>
          <w:szCs w:val="28"/>
          <w:lang w:eastAsia="uk-UA"/>
        </w:rPr>
        <w:t>.</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(ескроу)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(ескроу)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Загальні особливості формування показників файла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34DC8"/>
    <w:rsid w:val="00146580"/>
    <w:rsid w:val="00146F79"/>
    <w:rsid w:val="001544F6"/>
    <w:rsid w:val="0017423B"/>
    <w:rsid w:val="00177216"/>
    <w:rsid w:val="0018045C"/>
    <w:rsid w:val="00183F68"/>
    <w:rsid w:val="001A18CE"/>
    <w:rsid w:val="001C1965"/>
    <w:rsid w:val="001C67EE"/>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12C0"/>
    <w:rsid w:val="003532F9"/>
    <w:rsid w:val="00357498"/>
    <w:rsid w:val="00362901"/>
    <w:rsid w:val="003654E0"/>
    <w:rsid w:val="00374150"/>
    <w:rsid w:val="00377920"/>
    <w:rsid w:val="00387754"/>
    <w:rsid w:val="003904B8"/>
    <w:rsid w:val="00394B1E"/>
    <w:rsid w:val="0039773D"/>
    <w:rsid w:val="003B04F2"/>
    <w:rsid w:val="003B3DEF"/>
    <w:rsid w:val="003C16BF"/>
    <w:rsid w:val="003F6C22"/>
    <w:rsid w:val="00405E76"/>
    <w:rsid w:val="00415466"/>
    <w:rsid w:val="00421579"/>
    <w:rsid w:val="00421887"/>
    <w:rsid w:val="004315A6"/>
    <w:rsid w:val="00434977"/>
    <w:rsid w:val="00460D89"/>
    <w:rsid w:val="00474F28"/>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6DB3"/>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0022"/>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1755"/>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73F0E"/>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244D-F6DF-4D69-B7B4-765670D1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34687</Words>
  <Characters>19773</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2023-03-16T18:05:00Z</dcterms:created>
  <dcterms:modified xsi:type="dcterms:W3CDTF">2023-03-16T18:05:00Z</dcterms:modified>
</cp:coreProperties>
</file>