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12A7" w14:textId="77777777" w:rsid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336D0875" w14:textId="01101902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 A2L001, A2L002,</w:t>
      </w:r>
    </w:p>
    <w:p w14:paraId="78EA476B" w14:textId="37D4C523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2LХ “Дані про обсяги платіжних операцій для оцінки ризиків у сфері фінансового моніторингу”</w:t>
      </w:r>
    </w:p>
    <w:p w14:paraId="2199C24F" w14:textId="3574F081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небанківськими надавачами фінансових платіжних послуг, що відповідно до Закону 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“Про платіжні послуги” від 30.06.2021 № 1591-IX отримали право на надання фінансових платіжних послуг, та які є СПФМ, про здійснені у звітному періоді платіжні операції, в тому числі із залученням комерційних агентів.</w:t>
      </w:r>
    </w:p>
    <w:p w14:paraId="22C01749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включаються дані про платіжні операції, що ініційовані в межах України в національній валюті, у тому числі  з використанням електронних платіжних засобів (у тому числі їх реквізитів та/або токенізованих карток) (далі – ЕПЗ) та/або платіжні операції з електронними грошима (у тому числі проведені респондентом (постачальником статистичної звітності) в якості комерційного агента з розповсюдження, погашення, обміну електронних грошей).</w:t>
      </w:r>
    </w:p>
    <w:p w14:paraId="3E4A030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небанківською установою.</w:t>
      </w:r>
    </w:p>
    <w:p w14:paraId="38638753" w14:textId="250D2489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включаються дані про обсяг (сума):</w:t>
      </w:r>
    </w:p>
    <w:p w14:paraId="5D4B5C2F" w14:textId="56B3C161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інкасованої готівки в гривнях, яка була прийнята за допомогою платіжних пристроїв та через пункти надання фінансових послуг для виконання платіжних операцій, у тому числі розповсюдження електронних грошей (поповнення електронних гаманців);</w:t>
      </w:r>
    </w:p>
    <w:p w14:paraId="2F1C5988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прийнятої готівки в гривнях за допомогою платіжних пристроїв та через пункти надання фінансових послуг для виконання платіжних операцій</w:t>
      </w:r>
      <w:r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 за операціями з розповсюдження електронних грошей (поповнення електронних гаманців);</w:t>
      </w:r>
    </w:p>
    <w:p w14:paraId="6DA383CE" w14:textId="0B741AF4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виданої готівки за платіжними операціями отримувачам  через пункти надання фінансових послуг та/або за допомогою платіжних пристроїв;</w:t>
      </w:r>
    </w:p>
    <w:p w14:paraId="0517A77E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платіжних операцій за допомогою веб-сайтів та за допомогою платіжних пристроїв з використанням ЕПЗ, у тому числі за операціями з розповсюдження електронних грошей (поповнення електронних гаманців);</w:t>
      </w:r>
    </w:p>
    <w:p w14:paraId="34FAC3E1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операцій з погашення електронних грошей в обмін на готівкові кошти/</w:t>
      </w:r>
      <w:r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кошти, що перераховуються на рахунки споживача/користувача, використання електронних грошей для здійснення оплати товарів, сплати податків та перерахувань між електронними гаманцями.</w:t>
      </w:r>
    </w:p>
    <w:p w14:paraId="4A7ABC3B" w14:textId="48A1F72B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показнику “A2L001” зазначається інформація про загальні обсяги інкасованої готівки, прийнятої респондентом (постачальником статистичної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звітності)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із залученням комерційних агентів,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виконання платіжних операцій, у тому числі з розповсюдження електронних грошей (поповнення електронних гаманців).</w:t>
      </w:r>
    </w:p>
    <w:p w14:paraId="03B06BE4" w14:textId="77777777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здійснені операції з інкасації прийнятої готівки в гривнях у показнику “A2L001” надається на підставі: </w:t>
      </w:r>
    </w:p>
    <w:p w14:paraId="2227CD91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договорів про приймання платежів, укладених з отримувачами безпосередньо респондентом (постачальником статистичної звітності);</w:t>
      </w:r>
    </w:p>
    <w:p w14:paraId="6C05EEF1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договорів з іншими надавачами фінансових платіжних послуг про приймання платежів на користь отримувачів, з якими укладені договори про надання платіжних послуг цими надавачами фінансових платіжних послуг;</w:t>
      </w:r>
    </w:p>
    <w:p w14:paraId="3AAC8764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даних щодо приймання респондентом (постачальником статистичної звітності) готівки в гривнях для виконання платіжних операцій за довільними реквізитами;</w:t>
      </w:r>
    </w:p>
    <w:p w14:paraId="07D2DA47" w14:textId="77777777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даних щодо приймання респондентом (постачальником статистичної звітності) готівки в гривнях за операціями з розповсюдження електронних грошей (поповнення електронних гаманців). </w:t>
      </w:r>
    </w:p>
    <w:p w14:paraId="3F0C8C31" w14:textId="4F694E8A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показнику “A2L002” зазначається інформація про загальні обсяги здійснених платіжних операцій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із залученням комерційних агентів)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розрізі кодів призначення платежу, а саме: </w:t>
      </w:r>
    </w:p>
    <w:p w14:paraId="5F6B08B1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 виконання платіжних операцій, які були ініційовані  платниками готівкою, у тому числі за платіжними операціями з розповсюдження електронних грошей (поповнення електронних гаманців);</w:t>
      </w:r>
    </w:p>
    <w:p w14:paraId="283966CA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 переказу на користь отримувачів коштів за допомогою веб-сайтів/з використанням ЕПЗ;</w:t>
      </w:r>
    </w:p>
    <w:p w14:paraId="3D2909D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з видачі сум платіжних операцій отримувачам в готівковій формі через пункти надання фінансових послуг та/або за допомогою платіжних пристроїв;</w:t>
      </w:r>
    </w:p>
    <w:p w14:paraId="6A6BF26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з виконання платіжних операцій з електронними грошима (з погашення електронних грошей в обмін на готівкові кошти, в обмін на кошти, що перераховуються на рахунки споживача/користувача або на поточний/платіжний рахунок, вказаний споживачем, платіжних операцій з електронними грошима щодо здійснення оплати товарів, сплати податків та перерахувань між електронними гаманцями). </w:t>
      </w:r>
    </w:p>
    <w:p w14:paraId="4A3FE73C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здійснені операції у показнику “A2L002” надається на підставі:</w:t>
      </w:r>
    </w:p>
    <w:p w14:paraId="1096C603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даних щодо виконання платіжних операцій (з грошовими коштами в готівковій та/або безготівковій формі) в гривнях респондентом (постачальником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статистичної звітності) за договорами з отримувачами, укладеними безпосередньо респондентом (постачальником статистичної звітності);</w:t>
      </w:r>
    </w:p>
    <w:p w14:paraId="03371312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даних щодо виконання платіжних операцій (з грошовими коштами в готівковій та/або безготівковій формі) в гривнях іншими надавачами фінансових платіжних послуг для виконання платіжних операцій на користь отримувачів, з якими укладені договори респондентом (постачальником статистичної звітності);</w:t>
      </w:r>
    </w:p>
    <w:p w14:paraId="72E352EE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даних щодо виконання платіжних операцій  (з грошовими коштами в готівковій та/або безготівковій формі) в гривнях респондентом (постачальником статистичної звітності) для виконання платіжних операцій на користь отримувачів, з якими укладені договори іншими надавачами фінансових платіжних послуг;</w:t>
      </w:r>
    </w:p>
    <w:p w14:paraId="15F179EA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даних щодо приймання респондентом (постачальником статистичної звітності) платежів (готівкою і безготівково) в гривнях для виконання платіжних операцій за довільними реквізитами;</w:t>
      </w:r>
    </w:p>
    <w:p w14:paraId="614FA646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“A2L002” не включаються суми комісійних.</w:t>
      </w:r>
    </w:p>
    <w:p w14:paraId="7B3F3AF5" w14:textId="77777777" w:rsidR="009D4C77" w:rsidRPr="00163E7D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3C5B307" w14:textId="77777777" w:rsidR="009D4C77" w:rsidRPr="00163E7D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271EE49" w14:textId="77777777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A2L001 “Обсяг (сума) інкасованої готівки, прийнятої за допомогою платіжних пристроїв/пунктів надання фінансових послуг”</w:t>
      </w:r>
    </w:p>
    <w:p w14:paraId="1B3530F3" w14:textId="77777777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62A3A222" w14:textId="77777777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способу ініціювання платіжних операцій (довідник F106), набуває значення “01”.</w:t>
      </w:r>
    </w:p>
    <w:p w14:paraId="3A8FD39C" w14:textId="77777777" w:rsidR="009D4C77" w:rsidRPr="00163E7D" w:rsidRDefault="009D4C77" w:rsidP="009D4C77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призначення платежу, набуває значення “#”.</w:t>
      </w:r>
    </w:p>
    <w:p w14:paraId="3AB5D8AC" w14:textId="77777777" w:rsidR="009D4C77" w:rsidRPr="00163E7D" w:rsidRDefault="009D4C77" w:rsidP="009D4C77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160),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6D45FF85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яким здійснювалось приймання платежів – для показника 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A2L001 не заповнюється.</w:t>
      </w:r>
    </w:p>
    <w:p w14:paraId="316884A2" w14:textId="0307C9AD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коду/номеру, набуває значення “#”.</w:t>
      </w:r>
    </w:p>
    <w:p w14:paraId="11B5034F" w14:textId="644B0FDF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K020_2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банку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RCUKRU)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/національного оператора, небанківського надавача платіжних послуг, в який інкасовано/здано готівку, що була прийнята респондентом (постачальником статистичної звітності)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із залученням комерційних агентів),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виконання платіжних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операцій.</w:t>
      </w:r>
      <w:r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згідно з правилами заповнення K020 (довідник K021 поле “Пояснення до заповнення K020”).</w:t>
      </w:r>
    </w:p>
    <w:p w14:paraId="2EACD23A" w14:textId="3CE02024" w:rsidR="00391D7B" w:rsidRPr="00163E7D" w:rsidRDefault="00391D7B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готівку, інкасовано/здано до структурного підрозділу банку/національного оператора, небанківського надавача платіжних послуг, зазначається код головного офісу банку/національного оператора, небанківського надавача платіжних послуг.</w:t>
      </w:r>
    </w:p>
    <w:p w14:paraId="62878236" w14:textId="03024AA6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K020_3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банку, в якому відкрито рахунок респонденту (постачальнику статистичної звітності), на який 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</w:t>
      </w:r>
      <w:r w:rsidR="00391D7B"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кошти, прийняті готівкою (у тому числі із залученням комерційних агентів)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подальшого виконання платіжних операцій (довідник RCUKRU), зазначається згідно з правилами заповнення K020 (довідник K021 поле “Пояснення до заповнення K020”).</w:t>
      </w:r>
    </w:p>
    <w:p w14:paraId="3094D937" w14:textId="511702C5" w:rsidR="009D4C77" w:rsidRPr="00163E7D" w:rsidRDefault="009D4C77" w:rsidP="003905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K020_4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для якого здійснювалось приймання платежів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показника </w:t>
      </w:r>
      <w:r w:rsidR="00391D7B"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A2L001 не заповнюється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5DCFBF" w14:textId="24A45B35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K021_4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коду/номеру</w:t>
      </w:r>
      <w:r w:rsidR="00391D7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значення “#”</w:t>
      </w:r>
      <w:r w:rsidR="003905C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EF7B823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примітка, для показника “A2L001” не заповнюється.</w:t>
      </w:r>
    </w:p>
    <w:p w14:paraId="00600A2F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загальна сума інкасованої готівки в гривнях, яка була прийнята для виконання платіжних операцій.</w:t>
      </w:r>
    </w:p>
    <w:p w14:paraId="2D6794D9" w14:textId="77777777" w:rsidR="009D4C77" w:rsidRPr="00163E7D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9C604C5" w14:textId="77777777" w:rsidR="009D4C77" w:rsidRPr="00163E7D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CB205C2" w14:textId="77777777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A2L002 “Обсяг (сума) здійснених платіжних операцій”</w:t>
      </w:r>
    </w:p>
    <w:p w14:paraId="041266C7" w14:textId="77777777" w:rsidR="009D4C77" w:rsidRPr="00163E7D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50FD9BC9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способу ініціювання платіжних операцій (довідник F106) може набувати значення “01”, “02”, “03” в залежності від форми ініціювання переказу платником (у готівковій формі - “01”, у безготівковій формі - “02”, за допомогою електронних грошей - “03”).</w:t>
      </w:r>
    </w:p>
    <w:p w14:paraId="2C4E5067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Платіжні операції, що були ініційовані споживачами за допомогою електронних грошей, які були прийняті респондентом (постачальником статистичної звітності) в обмін на кошти, що перераховуються на поточні/платіжні рахунки, вказані споживачами (крім рахунків цих споживачів), мають відображатися як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дві окремі операції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тобто:</w:t>
      </w:r>
    </w:p>
    <w:p w14:paraId="536F45DA" w14:textId="7F5F39EA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передача споживачами електронних грошей респонденту (постачальнику статистичної звітності) для обміну відображаються з кодом способу ініціювання платіжних операцій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- “03” (довідник F106) і кодом призначення платежу (параметр F108) - “30”;</w:t>
      </w:r>
    </w:p>
    <w:p w14:paraId="5E283A03" w14:textId="6028581F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 перерахування респондентом (постачальником статистичної звітності) коштів, отриманих в обмін на електронні гроші споживачів, на поточний/платіжний рахунок, вказаний споживачем - з кодом способу ініціювання платіжних операцій  (довідник F106) - “02” у розрізі кодів призначення платежу (параметр F108).</w:t>
      </w:r>
    </w:p>
    <w:p w14:paraId="421C9818" w14:textId="77777777" w:rsidR="009D4C77" w:rsidRPr="00163E7D" w:rsidRDefault="009D4C77" w:rsidP="002E36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призначення платежу (довідник F108).</w:t>
      </w:r>
    </w:p>
    <w:p w14:paraId="53F3EC8E" w14:textId="77777777" w:rsidR="00505DDE" w:rsidRPr="00163E7D" w:rsidRDefault="009D4C77" w:rsidP="002E36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значення параметра F108 (код призначення платежу) в розрізі EKP (</w:t>
      </w:r>
      <w:r w:rsidRPr="00163E7D">
        <w:rPr>
          <w:rFonts w:ascii="Times New Roman" w:hAnsi="Times New Roman" w:cs="Times New Roman"/>
          <w:sz w:val="28"/>
          <w:szCs w:val="28"/>
        </w:rPr>
        <w:t>код показника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), F106 (</w:t>
      </w:r>
      <w:r w:rsidRPr="00163E7D">
        <w:rPr>
          <w:rFonts w:ascii="Times New Roman" w:hAnsi="Times New Roman" w:cs="Times New Roman"/>
          <w:sz w:val="28"/>
          <w:szCs w:val="28"/>
        </w:rPr>
        <w:t>код способу ініціювання платіжних операцій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), K020_1 (код надавача фінансових платіжних послуг, яким здійснювалось приймання платежів), K021_1 (</w:t>
      </w:r>
      <w:r w:rsidRPr="00163E7D">
        <w:rPr>
          <w:rFonts w:ascii="Times New Roman" w:hAnsi="Times New Roman" w:cs="Times New Roman"/>
          <w:sz w:val="28"/>
          <w:szCs w:val="28"/>
        </w:rPr>
        <w:t xml:space="preserve">код ознаки ідентифікаційного/реєстраційного коду/номеру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надавача фінансових платіжних послуг, яким здійснювалось приймання платежів), K020_2 (</w:t>
      </w:r>
      <w:r w:rsidRPr="00163E7D">
        <w:rPr>
          <w:rFonts w:ascii="Times New Roman" w:hAnsi="Times New Roman" w:cs="Times New Roman"/>
          <w:sz w:val="28"/>
          <w:szCs w:val="28"/>
        </w:rPr>
        <w:t>код банку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 оператора, небанківського надавача платіжних послуг</w:t>
      </w:r>
      <w:r w:rsidRPr="00163E7D">
        <w:rPr>
          <w:rFonts w:ascii="Times New Roman" w:hAnsi="Times New Roman" w:cs="Times New Roman"/>
          <w:sz w:val="28"/>
          <w:szCs w:val="28"/>
        </w:rPr>
        <w:t>, в який інкасовано/здано готівку, що була прийнята респондентом (постачальником статистичної звітності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), K020_3 (</w:t>
      </w:r>
      <w:r w:rsidRPr="00163E7D">
        <w:rPr>
          <w:rFonts w:ascii="Times New Roman" w:hAnsi="Times New Roman" w:cs="Times New Roman"/>
          <w:sz w:val="28"/>
          <w:szCs w:val="28"/>
        </w:rPr>
        <w:t>код банку в якому відкрито рахунок респонденту (постачальнику статистичної звітності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 K020_4 (код надавача фінансових платіжних послуг, для якого здійснювалось приймання платежів), K021_4 (</w:t>
      </w:r>
      <w:r w:rsidRPr="00163E7D">
        <w:rPr>
          <w:rFonts w:ascii="Times New Roman" w:hAnsi="Times New Roman" w:cs="Times New Roman"/>
          <w:sz w:val="28"/>
          <w:szCs w:val="28"/>
        </w:rPr>
        <w:t xml:space="preserve">код ознаки ідентифікаційного/реєстраційного коду/номеру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надавача фінансових платіжних послуг, для якого здійснювалось приймання платежів) не повинно дублюватися, крім записів, в яких параметр F108 дорівнює “12”, “17”, “27”,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“32”, “33”, “34”, “35”, “36”, “37”, “38”, “39”, “40”, “41”, “42”, “43”,“44”, “45”, “46”, “47”, “48”, “49”,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“99”</w:t>
      </w:r>
      <w:r w:rsidRPr="00163E7D">
        <w:rPr>
          <w:rFonts w:ascii="Times New Roman" w:hAnsi="Times New Roman" w:cs="Times New Roman"/>
          <w:sz w:val="28"/>
          <w:szCs w:val="28"/>
        </w:rPr>
        <w:t xml:space="preserve">. </w:t>
      </w:r>
      <w:r w:rsidR="00505DDE" w:rsidRPr="00163E7D">
        <w:rPr>
          <w:rFonts w:ascii="Times New Roman" w:hAnsi="Times New Roman" w:cs="Times New Roman"/>
          <w:sz w:val="28"/>
          <w:szCs w:val="28"/>
        </w:rPr>
        <w:t xml:space="preserve">При цьому, за операціями з кодами призначення платежу “12”, “27” зазначаються загальні обсяги операцій у розрізі назв лотерей, за операціями з кодом призначення платежу “17” – загальні обсяги операцій у розрізі  видів онлайн сервісів (з максимально можливою консолідацією), за операціями з кодами призначення платежу “32”, “33”, “34”, “35”, “36”, “37”, “38”, “39”, “40”, “41”, “42”, “43”,“44”, “45”, “46”, “47”, “48”, “49” - загальні обсяги операцій у розрізі найменувань організаторів азартних ігор, за операціями з кодом призначення платежу “99” – загальні обсяги операцій у розрізі  мети переказів (з максимально можливою консолідацією). </w:t>
      </w:r>
    </w:p>
    <w:p w14:paraId="4B239F1B" w14:textId="2F8D1F3B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розповсюдження електронних грошей (поповнення електронних гаманців) за гривню відображається зі значенням “19”, при цьому код способу ініціювання платіжних операцій (параметр F106) набуває значення “01” або “02”.</w:t>
      </w:r>
    </w:p>
    <w:p w14:paraId="6164DA29" w14:textId="557B8029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код призначення платежу (параметр F108) набуває значень “20” або “21” або “30”, або “52”</w:t>
      </w:r>
      <w:r w:rsidR="00CE1C0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“53”</w:t>
      </w:r>
      <w:r w:rsidR="00CE1C0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“54” або, “55”</w:t>
      </w:r>
      <w:r w:rsidR="007C171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E1C0B"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="004927D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“58”, або “59”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код способу ініціювання платіжних операцій (параметр F106) не повинен дорівнювати значенням “01” або “02”.</w:t>
      </w:r>
    </w:p>
    <w:p w14:paraId="7512464F" w14:textId="2EAAF759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здавання </w:t>
      </w:r>
      <w:r w:rsidR="007C171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респондента (постачальника статистичної звітності)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суб’єктом господарювання готівкової виручки (готівки) для виконання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платіжних операцій з метою зарахування на рахунок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 суб’єкта господарювання,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зазначені операції відображається відповідно до суті здійсненої діяльності цим суб’єктом господарювання, тобто як оплата товарів або за здійснені роботи, надані послуги з відповідним кодом призначення платежу (довідник F108).</w:t>
      </w:r>
    </w:p>
    <w:p w14:paraId="592048B9" w14:textId="746750B1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здавання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респондента (постачальника статистичної звітності)</w:t>
      </w:r>
      <w:r w:rsidR="00253F88"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іншими надавачами платіжних послуг та їх комерційними агентами з приймання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готівкової виручки (готівки),</w:t>
      </w:r>
      <w:r w:rsidR="00253F88"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отриманої через платіжні пристрої та пункти надання фінансових послуг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подальшого виконання платіжних операцій, з метою </w:t>
      </w:r>
      <w:r w:rsidR="003276BB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зарахування на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3F88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рахунок/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 w:rsidR="004E622A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відкритий/відкриті для обліку коштів, прийнятих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виконання платіжних операцій, інформація про зазначені операції відображається з кодом призначення платежу “57” (довідник F108).</w:t>
      </w:r>
    </w:p>
    <w:p w14:paraId="211CD399" w14:textId="77777777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випадках здійснення операцій з видачі сум платіжних операцій отримувачам в готівковій формі через пункти надання фінансових послуг та за допомогою платіжних пристроїв, інформація про зазначені операції відображається з кодом призначення платежу “28” (довідник F108).</w:t>
      </w:r>
    </w:p>
    <w:p w14:paraId="69EE5C70" w14:textId="05B67EF2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операції з оплати участі (ставок) учасниками для участі у розіграші державної лотереї [у  т. ч. поповнення учасниками рахунків/особистих рахунків  на вебсайті, мобільному додатку, тощо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оператора державних лотерей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участі у державних лотереях, що проводяться з використанням мережі Інтернет] відображається з кодом призначення платежу “12” (довідник F108).</w:t>
      </w:r>
    </w:p>
    <w:p w14:paraId="785D2CF2" w14:textId="69065052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операції з повернення коштів, внесених учасниками для участі у розіграші державної лотереї (у т. ч. з рахунків/особистих рахунків учасників на вебсайті, мобільному додатку, тощо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оператора державних лотерей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участі у державних лотереях, що проводяться з використанням мережі Інтернет], які не є виграшом, відображається із кодом призначення платежу “60” (довідник F108).</w:t>
      </w:r>
    </w:p>
    <w:p w14:paraId="29922E36" w14:textId="1ADB5BAC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із виплати виграшів учасникам розіграшів державних лотерей відображається із кодом призначення платежу “27” (довідник F108).</w:t>
      </w:r>
    </w:p>
    <w:p w14:paraId="68038F7A" w14:textId="1C16A165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з оплати ставок гравцями для участі в азартних іграх [у  т. ч. поповнення гравцями балансу клієнтських рахунків (придбання електронних грошових замінників в онлайн-системі організатора азартних ігор в обмін на грошові кошти)] відображається з кодами призначення платежу “32”, “33”, “34”, “35”, “36”, “37” (довідник F108).</w:t>
      </w:r>
    </w:p>
    <w:p w14:paraId="6BA42E8F" w14:textId="04D90A74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операції з повернення коштів, внесених гравцями для участі в азартних іграх (у т. ч. з клієнтських рахунків гравців в онлайн-системі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організатора азартних ігор сум грошових коштів, отриманих в обмін на електронні грошові замінники), які не є виграшом, відображається із кодами призначення платежу “38”, “39”, “40”, “41”, “42”, “43” (довідник F108).</w:t>
      </w:r>
    </w:p>
    <w:p w14:paraId="3F8F8F9D" w14:textId="096993B0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із виплати виграшів гравцям азартних ігор відображається із кодами призначення платежу “44”, “45”, “46”, “47”, “48”, “49” (довідник F108).</w:t>
      </w:r>
    </w:p>
    <w:p w14:paraId="4692BD25" w14:textId="208A74FA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Терміни “азартна гра”, “виграш”, “гравець”, “державна лотерея”, “ставка”, “спортивний покер”, “турнір з покеру”, які вживаються в цих правилах та довіднику F108, застосовуються в значеннях, визначених Законом України від 14 липня 2020 року № 768-IX “Про державне регулювання діяльності щодо організації та проведення азартних ігор” та Законом України від 6 вересня 2012 року № 5204-VI “Про державні лотереї в Україні”.</w:t>
      </w:r>
    </w:p>
    <w:p w14:paraId="7AB66585" w14:textId="653E7F3F" w:rsidR="00FC536C" w:rsidRPr="00163E7D" w:rsidRDefault="00FC536C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</w:rPr>
        <w:t xml:space="preserve">У випадках здійснення респондентом (постачальником статистичної звітності) платіжних операцій з повернення платникам коштів зі свого розрахункового рахунку за раніше виконаними платіжними операціями цими платниками, у показнику A2L002 має відображатися інформація як про операції з ініціювання платниками переказів на користь отримувачів, так і про операції з повернення респондентом (постачальником статистичної звітності) коштів платникам - ініціаторам. При цьому, за операціями з повернення коштів код призначення платежу (параметр F108) - має набувати такого ж значення, з яким ці платежі були ініційовані, в примітці (НРП Q006) обов’язково зазначається інформація про особливість платежу, а в метриці T070 – зазначається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</w:rPr>
        <w:t>від’ємне значення</w:t>
      </w:r>
      <w:r w:rsidRPr="00163E7D">
        <w:rPr>
          <w:rFonts w:ascii="Times New Roman" w:eastAsia="Times New Roman" w:hAnsi="Times New Roman" w:cs="Times New Roman"/>
          <w:sz w:val="28"/>
          <w:szCs w:val="28"/>
        </w:rPr>
        <w:t xml:space="preserve"> загальної суми платежів, що повертаються за відповідним кодом призначення платежу (параметр F108).</w:t>
      </w:r>
    </w:p>
    <w:p w14:paraId="066F096A" w14:textId="2E1E0952" w:rsidR="009D4C77" w:rsidRPr="00163E7D" w:rsidRDefault="009D4C77" w:rsidP="009D4C77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</w:t>
      </w:r>
      <w:r w:rsidRPr="00163E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160)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код електронних грошей у випадках, якщо код призначення платежу (параметр F108) набуває значень “19” або “20”</w:t>
      </w:r>
      <w:r w:rsidR="008D583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“21”</w:t>
      </w:r>
      <w:r w:rsidR="008D583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“30”, або “52”</w:t>
      </w:r>
      <w:r w:rsidR="008D583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“53”</w:t>
      </w:r>
      <w:r w:rsidR="008D5839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“54”, або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“55”</w:t>
      </w:r>
      <w:r w:rsidR="004129E5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“58”, або “59”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. В інших випадках набуває значення “#”.</w:t>
      </w:r>
    </w:p>
    <w:p w14:paraId="6CC8DA3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яким здійснювалось приймання платежів для виконання платіжної операції, зазначається згідно з правилами заповнення K020 (довідник K021 поле “Пояснення до заповнення K020”). Заповнюється у разі, якщо код способу ініціювання платіжних операцій (параметр F106) набуває значення “01” або “02”, в інших випадках НРП K020_1 не заповнюється.</w:t>
      </w:r>
    </w:p>
    <w:p w14:paraId="70690882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В НРП K020_1 інформація зазначається таким чином:</w:t>
      </w:r>
    </w:p>
    <w:p w14:paraId="087865D5" w14:textId="08721DF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Якщо респондент (постачальник статистичної звітності) здійснює приймання платежів на користь свого клієнта, з яким встановлені договірні відносини на підставі договору про приймання на його користь регулярних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платежів, та/або здійснює приймання платежів для виконання платіжних операцій за довільними реквізитами, та/або здійснює приймання платежів за операціями з розповсюдження електронних грошей (поповнення електронних гаманців) – зазначається код респондента (постач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альника статистичної звітності). При цьому, якщо</w:t>
      </w:r>
      <w:r w:rsidR="00505DDE" w:rsidRPr="00163E7D">
        <w:rPr>
          <w:rFonts w:ascii="Times New Roman" w:hAnsi="Times New Roman" w:cs="Times New Roman"/>
          <w:sz w:val="28"/>
          <w:szCs w:val="28"/>
        </w:rPr>
        <w:t xml:space="preserve"> </w:t>
      </w:r>
      <w:r w:rsidR="00505DDE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 (постачальник статистичної звітності) здійснює приймання платежів із залученням комерційних агентів, в примітці (НРП Q006) обов’язково зазначається повне найменування цього комерційного агента згідно з Реєстром платіжної інфраструктури, що ведеться Національним банком України відповідно до Закону </w:t>
      </w:r>
      <w:r w:rsid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“Про платіжні послуги”);</w:t>
      </w:r>
    </w:p>
    <w:p w14:paraId="01AF8D22" w14:textId="57F72931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2. Якщо респондент (постачальник статистичної звітності) уклав договір з отримувачем коштів про приймання на його користь регулярних платежів, але не здійснює самостійне приймання цих платежів, а отримує кошти від іншого надавача фінансових платіжних послуг (або від іншого посередника з проведення платіжних операцій), який здійснив приймання цих платежів за дорученням респондента (постачальника статистичної звітності), – зазначається код зазначеного надавача фінансових платіжних послуг (або іншого посередника з проведення платіжних операцій).</w:t>
      </w:r>
    </w:p>
    <w:p w14:paraId="46C5F997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коду/номеру (довідник K021) та є супутнім параметром до НРП K020_1. Якщо НРП K020_1 не заповнене, то супутній параметр K021_1 набуває значення “#”.</w:t>
      </w:r>
    </w:p>
    <w:p w14:paraId="3404DE17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банку/національного оператора, небанківського надавача платіжних послуг, в який інкасовано/здано готівку, що була прийнята респондентом (постачальником статистичної звітності) для подальшого виконання платіжних операцій – для показника “A2L002” не заповнюється.</w:t>
      </w:r>
    </w:p>
    <w:p w14:paraId="39C8E6BB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K020_3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банку, в якому відкрито поточний рахунок респонденту (постачальнику статистичної звітності), на який зарахована готівка в гривнях, прийнята для подальшого виконання платіжних операцій – для показника “A2L002” не заповнюється.</w:t>
      </w:r>
    </w:p>
    <w:p w14:paraId="72EB178D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K020_4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для якого здійснювалось приймання платежів для виконання платіжних операцій, зазначається згідно з правилами заповнення K020 (довідник K021 поле “Пояснення до заповнення K020”). Заповнюється у разі, якщо код способу ініціювання платіжних операцій (параметр F106) набуває значення “01” або “02”, в інших випадках НРП K020_4 не заповнюється.</w:t>
      </w:r>
    </w:p>
    <w:p w14:paraId="3FF37010" w14:textId="77777777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В НРП K020_4 інформація зазначається таким чином:</w:t>
      </w:r>
    </w:p>
    <w:p w14:paraId="791EE8C1" w14:textId="4F3635C6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Якщо респондент (постачальник статистичної звітності) здійснює приймання платежів на користь свого клієнта, з яким встановлені договірні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відносини на підставі договору про приймання на його користь регулярних платежів та/або здійснює приймання платежів для виконання платіжних операцій за довільними реквізитами, та/або за операціями з розповсюдження електронних грошей (поповнення електронних гаманців) – зазначається код респондента (постачальника статистичної звітності);</w:t>
      </w:r>
    </w:p>
    <w:p w14:paraId="3557F434" w14:textId="657A4FCA" w:rsidR="009D4C77" w:rsidRPr="00163E7D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Якщо респондент (постачальник статистичної звітності) не обслуговує отримувача та виконує платіжну операцію за дорученням іншого надавача фінансових платіжних послуг, який обслуговує цього отримувача, або за дорученням іншого посередника з проведення платіжної операції, – зазначається код цього  надавача фінансових платіжних послуг або посередника </w:t>
      </w:r>
      <w:r w:rsid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з проведення платіжної операції;</w:t>
      </w:r>
    </w:p>
    <w:p w14:paraId="77CEA0EC" w14:textId="13CB21D4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респондент (постачальник статистичної звітності) здійснює операції з приймання готівкової виручки (готівки)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 інших надавачів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платіжних послуг для зарахування на їх рахунки для подальшого виконання платіжних операцій [інформація про які відображається з кодом призначення платежу “57” (довідник F108)] – зазначається код цього надав</w:t>
      </w:r>
      <w:r w:rsid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ача фінансових платіжних послуг;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0B23698" w14:textId="2432B735" w:rsidR="00253F88" w:rsidRPr="00163E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респондент (постачальник статистичної звітності) здійснює операції з приймання готівкової виручки (готівки)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 комерційних агентів із приймання готівки інших надавачів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платіжних послуг для зарахування на їх рахунки для подальшого виконання платіжних операцій, [інформація про які відображається з кодом призначення платежу “57” (довідник F108)] –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зазначається код надавача фінансових платіжних послуг, від агента якого прийнято готівку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в примітці (НРП Q006) обов’язково зазначається повне </w:t>
      </w:r>
      <w:r w:rsidRPr="00163E7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найменування цього комерційного агента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Реєстром платіжної інфраструктури, що ведеться Національним банком України відповідно до Закону України 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платіжні послуги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A404EF4" w14:textId="1FADA72C" w:rsidR="009D4C77" w:rsidRPr="00163E7D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K021_4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</w:t>
      </w:r>
      <w:r w:rsidRPr="00163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коду/номеру (довідник K021) та є супутнім параметром до НРП K020_4. Якщо НРП K020_4 не заповнене, то супутній параметр K021_4 набуває значення “#”.</w:t>
      </w:r>
    </w:p>
    <w:p w14:paraId="602194DF" w14:textId="77777777" w:rsidR="009D4C77" w:rsidRPr="00163E7D" w:rsidRDefault="009D4C77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E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примітка, зазначається інформація про особливість платежу (послуги, товару).</w:t>
      </w:r>
    </w:p>
    <w:p w14:paraId="03590BA1" w14:textId="6B3EAF2C" w:rsidR="009D4C77" w:rsidRPr="00163E7D" w:rsidRDefault="002E36D9" w:rsidP="009D4C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Обов’язково зазначається:</w:t>
      </w:r>
    </w:p>
    <w:p w14:paraId="0A1FC016" w14:textId="64B827C7" w:rsidR="009D4C77" w:rsidRPr="00163E7D" w:rsidRDefault="00163E7D" w:rsidP="009D4C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 державних лотерей [код призначення платежу (параметр F108) дорівнює значенню “12”, “27”] відповідно до Єдиного реєстру державних лотерей, запроваджених в Україні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61C81" w:rsidRP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ведеться Уповноваженим органо</w:t>
      </w:r>
      <w:r w:rsidR="00325733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відповідно до Закону України </w:t>
      </w:r>
      <w:r w:rsidR="00325733" w:rsidRP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державні лотереї в Україні</w:t>
      </w:r>
      <w:r w:rsidR="00325733" w:rsidRP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операціями з переказу коштів, які здійснюються з метою передоплати за участь у державній лотереї 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(тобто, для поповнення учасником розіграшів державних лотерей 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рахунку/особистого рахунку на вебсайті, мобільному додатку, тощо відповідного оператора державних лотерей для участі у державних лотереях, що проводяться з використанням мережі Інтернет) замість найменування державної лотереї 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примітці необхідно зазначити відповідний коментар та вказати найменування оператора державних лотерей, наприклад: “передоплата за участь у державній лотереї, оператор - ТОВ “М.С.Л.”; </w:t>
      </w:r>
    </w:p>
    <w:p w14:paraId="7F18BFFD" w14:textId="0617DFF6" w:rsidR="009D4C77" w:rsidRPr="00163E7D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 онлайн-сервісів [код призначення платежу (параметр F108) дорівнює значенню “17”];</w:t>
      </w:r>
    </w:p>
    <w:p w14:paraId="2448396E" w14:textId="4EC0F851" w:rsidR="00E61C81" w:rsidRPr="00163E7D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організатора азартних ігор [код призначення платежу (параметр F108) дорівнює значенню “32”, “33”, “34”, “35”, “36”, “37”, “38”, “39”, “40”, “41”, “42”, “43”,“44”, “45”, “46”, “47”, “48”, “49”] відповідно до реєстрів організаторів азартних ігор в Україні, що формуються Уповноваженим органо</w:t>
      </w:r>
      <w:r w:rsidR="00325733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м відповідно до Закону України “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державне регулювання діяльності щодо організації та проведення азартних ігор</w:t>
      </w:r>
      <w:r w:rsidR="00325733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B781F5D" w14:textId="5D687DEE" w:rsidR="002537E2" w:rsidRPr="00163E7D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537E2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комерційного агента із приймання готівки інших надавачів платіжних послуг [код призначення платежу (параметр F108) дорівнює значенню “57”, у випадку коли респондент (постачальник статистичної звітності) здійснює операції з приймання готівкової виручки (готівки) від комерційних агентів із приймання готівки інших надавачів фінансових платіжних послуг для зарахування на їх рахунки для подальшого виконання платіжних операцій];</w:t>
      </w:r>
    </w:p>
    <w:p w14:paraId="2E4E2F17" w14:textId="5416E3BF" w:rsidR="00E61C81" w:rsidRPr="00163E7D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61C81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комерційного агента, із залученням якого респондент (постачальник статистичної звітності) здійснював приймання платежів;</w:t>
      </w:r>
    </w:p>
    <w:p w14:paraId="3A82BEFD" w14:textId="638A92F3" w:rsidR="009D4C77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D4C77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інші платежі у розрізі мети переказу [код призначення платежу (парамет</w:t>
      </w:r>
      <w:r w:rsidR="00FC536C"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>р F108) дорівнює значенню “99”];</w:t>
      </w:r>
    </w:p>
    <w:p w14:paraId="3E580175" w14:textId="1687EC45" w:rsidR="00FC536C" w:rsidRPr="00163E7D" w:rsidRDefault="00163E7D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E36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615B7" w:rsidRPr="005615B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повернення респондентом (постачальником статистичної звітності) зі свого розрахункового рахунку коштів платникам за раніше виконаними платіжними операціями цими платниками [метрика T070&lt;0], а саме: “Повернення коштів платнику”.</w:t>
      </w:r>
    </w:p>
    <w:p w14:paraId="74EF45D8" w14:textId="367E578D" w:rsidR="00710A0C" w:rsidRPr="00163E7D" w:rsidRDefault="009D4C77" w:rsidP="002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36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163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загальна сума платіжних операцій.</w:t>
      </w:r>
    </w:p>
    <w:p w14:paraId="27F1892D" w14:textId="09D94DC4" w:rsidR="00FC536C" w:rsidRPr="002E36D9" w:rsidRDefault="005615B7" w:rsidP="002E3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15B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повернення респондентом (постачальником статистичної звітності) зі свого розрахункового рахунку коштів платникам за раніше виконаними платіжними операціями цими платниками [в НРП Q006 повинно бути вказано “Повернення коштів платнику”], зазначається від’ємне значення загальної суми платежів що повертаються.</w:t>
      </w:r>
      <w:bookmarkStart w:id="0" w:name="_GoBack"/>
      <w:bookmarkEnd w:id="0"/>
    </w:p>
    <w:sectPr w:rsidR="00FC536C" w:rsidRPr="002E36D9" w:rsidSect="00DF51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8E4B" w14:textId="77777777" w:rsidR="0070723A" w:rsidRDefault="0070723A">
      <w:pPr>
        <w:spacing w:after="0" w:line="240" w:lineRule="auto"/>
      </w:pPr>
      <w:r>
        <w:separator/>
      </w:r>
    </w:p>
  </w:endnote>
  <w:endnote w:type="continuationSeparator" w:id="0">
    <w:p w14:paraId="2B51D8A9" w14:textId="77777777" w:rsidR="0070723A" w:rsidRDefault="0070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77B8" w14:textId="77777777" w:rsidR="0070723A" w:rsidRDefault="0070723A">
      <w:pPr>
        <w:spacing w:after="0" w:line="240" w:lineRule="auto"/>
      </w:pPr>
      <w:r>
        <w:separator/>
      </w:r>
    </w:p>
  </w:footnote>
  <w:footnote w:type="continuationSeparator" w:id="0">
    <w:p w14:paraId="38FF2950" w14:textId="77777777" w:rsidR="0070723A" w:rsidRDefault="0070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481314168"/>
      <w:docPartObj>
        <w:docPartGallery w:val="Page Numbers (Top of Page)"/>
        <w:docPartUnique/>
      </w:docPartObj>
    </w:sdtPr>
    <w:sdtEndPr/>
    <w:sdtContent>
      <w:p w14:paraId="451E6539" w14:textId="5EDAFD3C" w:rsidR="0026753E" w:rsidRPr="005B79CB" w:rsidRDefault="00C5648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B79CB">
          <w:rPr>
            <w:rFonts w:ascii="Times New Roman" w:hAnsi="Times New Roman" w:cs="Times New Roman"/>
            <w:sz w:val="28"/>
          </w:rPr>
          <w:fldChar w:fldCharType="begin"/>
        </w:r>
        <w:r w:rsidRPr="005B79CB">
          <w:rPr>
            <w:rFonts w:ascii="Times New Roman" w:hAnsi="Times New Roman" w:cs="Times New Roman"/>
            <w:sz w:val="28"/>
          </w:rPr>
          <w:instrText>PAGE   \* MERGEFORMAT</w:instrText>
        </w:r>
        <w:r w:rsidRPr="005B79CB">
          <w:rPr>
            <w:rFonts w:ascii="Times New Roman" w:hAnsi="Times New Roman" w:cs="Times New Roman"/>
            <w:sz w:val="28"/>
          </w:rPr>
          <w:fldChar w:fldCharType="separate"/>
        </w:r>
        <w:r w:rsidR="005615B7">
          <w:rPr>
            <w:rFonts w:ascii="Times New Roman" w:hAnsi="Times New Roman" w:cs="Times New Roman"/>
            <w:noProof/>
            <w:sz w:val="28"/>
          </w:rPr>
          <w:t>10</w:t>
        </w:r>
        <w:r w:rsidRPr="005B79C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A170E"/>
    <w:multiLevelType w:val="hybridMultilevel"/>
    <w:tmpl w:val="8BB4065C"/>
    <w:lvl w:ilvl="0" w:tplc="2AFED6F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C"/>
    <w:rsid w:val="000057C8"/>
    <w:rsid w:val="00015C4C"/>
    <w:rsid w:val="000429C7"/>
    <w:rsid w:val="00045114"/>
    <w:rsid w:val="0005370A"/>
    <w:rsid w:val="00096EA1"/>
    <w:rsid w:val="000A133A"/>
    <w:rsid w:val="000B5E8A"/>
    <w:rsid w:val="000D1B94"/>
    <w:rsid w:val="000D3C77"/>
    <w:rsid w:val="000E1CE6"/>
    <w:rsid w:val="001278BB"/>
    <w:rsid w:val="00157CF5"/>
    <w:rsid w:val="00163E7D"/>
    <w:rsid w:val="00196207"/>
    <w:rsid w:val="001A5CB9"/>
    <w:rsid w:val="001C7CB2"/>
    <w:rsid w:val="001D2E08"/>
    <w:rsid w:val="001D3613"/>
    <w:rsid w:val="001E09CE"/>
    <w:rsid w:val="00211B93"/>
    <w:rsid w:val="00212CBC"/>
    <w:rsid w:val="0024654B"/>
    <w:rsid w:val="002537E2"/>
    <w:rsid w:val="00253F88"/>
    <w:rsid w:val="002A05AC"/>
    <w:rsid w:val="002C5B9E"/>
    <w:rsid w:val="002D03F0"/>
    <w:rsid w:val="002D0918"/>
    <w:rsid w:val="002D0B3E"/>
    <w:rsid w:val="002E1BFC"/>
    <w:rsid w:val="002E36D9"/>
    <w:rsid w:val="002F3663"/>
    <w:rsid w:val="003106BA"/>
    <w:rsid w:val="00325733"/>
    <w:rsid w:val="003275C7"/>
    <w:rsid w:val="003276BB"/>
    <w:rsid w:val="003343DC"/>
    <w:rsid w:val="003354DE"/>
    <w:rsid w:val="003753DF"/>
    <w:rsid w:val="00376CA0"/>
    <w:rsid w:val="00377D5B"/>
    <w:rsid w:val="003905C9"/>
    <w:rsid w:val="00391D7B"/>
    <w:rsid w:val="00392DE1"/>
    <w:rsid w:val="003C1EE7"/>
    <w:rsid w:val="003E300B"/>
    <w:rsid w:val="00403B99"/>
    <w:rsid w:val="00404351"/>
    <w:rsid w:val="004129E5"/>
    <w:rsid w:val="004200A7"/>
    <w:rsid w:val="004333B1"/>
    <w:rsid w:val="0045547A"/>
    <w:rsid w:val="0047136D"/>
    <w:rsid w:val="004927D9"/>
    <w:rsid w:val="004974E6"/>
    <w:rsid w:val="00497887"/>
    <w:rsid w:val="004A6C3F"/>
    <w:rsid w:val="004B36B1"/>
    <w:rsid w:val="004C6A31"/>
    <w:rsid w:val="004C7490"/>
    <w:rsid w:val="004E486E"/>
    <w:rsid w:val="004E622A"/>
    <w:rsid w:val="00505DDE"/>
    <w:rsid w:val="00507500"/>
    <w:rsid w:val="005169D0"/>
    <w:rsid w:val="005171EA"/>
    <w:rsid w:val="00520F6E"/>
    <w:rsid w:val="00534205"/>
    <w:rsid w:val="00553C5D"/>
    <w:rsid w:val="00560B0A"/>
    <w:rsid w:val="005615B7"/>
    <w:rsid w:val="00567407"/>
    <w:rsid w:val="00585C4A"/>
    <w:rsid w:val="005B79CB"/>
    <w:rsid w:val="005C0364"/>
    <w:rsid w:val="005C28FF"/>
    <w:rsid w:val="005E76AE"/>
    <w:rsid w:val="00621F84"/>
    <w:rsid w:val="00654899"/>
    <w:rsid w:val="006743CC"/>
    <w:rsid w:val="00683A70"/>
    <w:rsid w:val="006A059B"/>
    <w:rsid w:val="006A1BFF"/>
    <w:rsid w:val="006A1C7D"/>
    <w:rsid w:val="006C41A1"/>
    <w:rsid w:val="006C4D2B"/>
    <w:rsid w:val="006E617B"/>
    <w:rsid w:val="0070723A"/>
    <w:rsid w:val="00710A0C"/>
    <w:rsid w:val="0071473F"/>
    <w:rsid w:val="00714D2C"/>
    <w:rsid w:val="00721446"/>
    <w:rsid w:val="007237AC"/>
    <w:rsid w:val="00771836"/>
    <w:rsid w:val="00793045"/>
    <w:rsid w:val="00797985"/>
    <w:rsid w:val="007B23B8"/>
    <w:rsid w:val="007B4AC5"/>
    <w:rsid w:val="007C171E"/>
    <w:rsid w:val="0080183E"/>
    <w:rsid w:val="008138F8"/>
    <w:rsid w:val="00833201"/>
    <w:rsid w:val="00843A40"/>
    <w:rsid w:val="008528CD"/>
    <w:rsid w:val="0085681E"/>
    <w:rsid w:val="0088150E"/>
    <w:rsid w:val="00886E59"/>
    <w:rsid w:val="008B1EA2"/>
    <w:rsid w:val="008B4FA6"/>
    <w:rsid w:val="008B64C5"/>
    <w:rsid w:val="008C0459"/>
    <w:rsid w:val="008D25E4"/>
    <w:rsid w:val="008D5839"/>
    <w:rsid w:val="008E0B56"/>
    <w:rsid w:val="008F4773"/>
    <w:rsid w:val="00901035"/>
    <w:rsid w:val="00902C44"/>
    <w:rsid w:val="00904E9A"/>
    <w:rsid w:val="0091775C"/>
    <w:rsid w:val="00934DCE"/>
    <w:rsid w:val="009352F2"/>
    <w:rsid w:val="0094360F"/>
    <w:rsid w:val="009546E6"/>
    <w:rsid w:val="009614A7"/>
    <w:rsid w:val="009663C4"/>
    <w:rsid w:val="00975177"/>
    <w:rsid w:val="009A26D8"/>
    <w:rsid w:val="009C379E"/>
    <w:rsid w:val="009C58DF"/>
    <w:rsid w:val="009D4C77"/>
    <w:rsid w:val="009D7391"/>
    <w:rsid w:val="009F7B25"/>
    <w:rsid w:val="00A1111F"/>
    <w:rsid w:val="00A1491D"/>
    <w:rsid w:val="00A26463"/>
    <w:rsid w:val="00A35B12"/>
    <w:rsid w:val="00A416F2"/>
    <w:rsid w:val="00A97523"/>
    <w:rsid w:val="00AA0760"/>
    <w:rsid w:val="00AB1645"/>
    <w:rsid w:val="00AE5535"/>
    <w:rsid w:val="00AE7944"/>
    <w:rsid w:val="00B03792"/>
    <w:rsid w:val="00B55B4A"/>
    <w:rsid w:val="00B56958"/>
    <w:rsid w:val="00B70870"/>
    <w:rsid w:val="00B738C7"/>
    <w:rsid w:val="00B75602"/>
    <w:rsid w:val="00B8663D"/>
    <w:rsid w:val="00BA69E0"/>
    <w:rsid w:val="00BB0C27"/>
    <w:rsid w:val="00BE2F7C"/>
    <w:rsid w:val="00BE7D0B"/>
    <w:rsid w:val="00C23C6D"/>
    <w:rsid w:val="00C42101"/>
    <w:rsid w:val="00C56489"/>
    <w:rsid w:val="00C70475"/>
    <w:rsid w:val="00CA46CE"/>
    <w:rsid w:val="00CB0E8F"/>
    <w:rsid w:val="00CB493C"/>
    <w:rsid w:val="00CB5606"/>
    <w:rsid w:val="00CC4B24"/>
    <w:rsid w:val="00CE1C0B"/>
    <w:rsid w:val="00CE2877"/>
    <w:rsid w:val="00CF4B33"/>
    <w:rsid w:val="00CF4FFF"/>
    <w:rsid w:val="00D00E23"/>
    <w:rsid w:val="00D01514"/>
    <w:rsid w:val="00D016D1"/>
    <w:rsid w:val="00D15989"/>
    <w:rsid w:val="00D3088A"/>
    <w:rsid w:val="00D73301"/>
    <w:rsid w:val="00D86DD8"/>
    <w:rsid w:val="00D90811"/>
    <w:rsid w:val="00D94786"/>
    <w:rsid w:val="00DA13FC"/>
    <w:rsid w:val="00DD5444"/>
    <w:rsid w:val="00E077A1"/>
    <w:rsid w:val="00E21718"/>
    <w:rsid w:val="00E33B7D"/>
    <w:rsid w:val="00E34BA5"/>
    <w:rsid w:val="00E43D9B"/>
    <w:rsid w:val="00E534D8"/>
    <w:rsid w:val="00E56C29"/>
    <w:rsid w:val="00E61C81"/>
    <w:rsid w:val="00E73160"/>
    <w:rsid w:val="00E85656"/>
    <w:rsid w:val="00E87049"/>
    <w:rsid w:val="00EC1EED"/>
    <w:rsid w:val="00F23CC9"/>
    <w:rsid w:val="00F26E6F"/>
    <w:rsid w:val="00F5055F"/>
    <w:rsid w:val="00F64DD6"/>
    <w:rsid w:val="00F91B7E"/>
    <w:rsid w:val="00F936EB"/>
    <w:rsid w:val="00F979E9"/>
    <w:rsid w:val="00FA1F84"/>
    <w:rsid w:val="00FB5645"/>
    <w:rsid w:val="00FC536C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CD4"/>
  <w15:chartTrackingRefBased/>
  <w15:docId w15:val="{E716B8B1-EB39-44CE-8689-312B137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10A0C"/>
  </w:style>
  <w:style w:type="paragraph" w:styleId="a6">
    <w:name w:val="Balloon Text"/>
    <w:basedOn w:val="a"/>
    <w:link w:val="a7"/>
    <w:uiPriority w:val="99"/>
    <w:semiHidden/>
    <w:unhideWhenUsed/>
    <w:rsid w:val="008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38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00E23"/>
  </w:style>
  <w:style w:type="character" w:styleId="aa">
    <w:name w:val="annotation reference"/>
    <w:basedOn w:val="a0"/>
    <w:uiPriority w:val="99"/>
    <w:semiHidden/>
    <w:unhideWhenUsed/>
    <w:rsid w:val="00A2646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26463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A2646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646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26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0B61-4BCC-4EA5-92D9-8EEDFDE3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15098</Words>
  <Characters>8606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Гладій Марина Євгеніївна</cp:lastModifiedBy>
  <cp:revision>7</cp:revision>
  <cp:lastPrinted>2019-11-19T10:35:00Z</cp:lastPrinted>
  <dcterms:created xsi:type="dcterms:W3CDTF">2024-08-05T08:48:00Z</dcterms:created>
  <dcterms:modified xsi:type="dcterms:W3CDTF">2024-08-07T09:30:00Z</dcterms:modified>
</cp:coreProperties>
</file>