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1F71A7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1AFFFDE1" w14:textId="77777777" w:rsidR="0025451C" w:rsidRPr="001F71A7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1F71A7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571E45E5" w:rsidR="00FE059E" w:rsidRPr="001F71A7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1F71A7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1F71A7">
        <w:rPr>
          <w:rFonts w:ascii="Times New Roman" w:eastAsia="Times New Roman" w:hAnsi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1F71A7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1F5CF5" w:rsidRPr="001F71A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1F71A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07B" w:rsidRPr="001F71A7">
        <w:rPr>
          <w:rFonts w:ascii="Times New Roman" w:hAnsi="Times New Roman" w:cs="Times New Roman"/>
          <w:sz w:val="28"/>
          <w:szCs w:val="28"/>
          <w:lang w:eastAsia="uk-UA"/>
        </w:rPr>
        <w:t>та/або з початку календарного року</w:t>
      </w:r>
      <w:r w:rsidR="001F5CF5" w:rsidRPr="001F71A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1F71A7">
        <w:rPr>
          <w:rFonts w:ascii="Times New Roman" w:hAnsi="Times New Roman" w:cs="Times New Roman"/>
          <w:sz w:val="28"/>
          <w:szCs w:val="28"/>
          <w:lang w:eastAsia="uk-UA"/>
        </w:rPr>
        <w:t xml:space="preserve"> в якому подається звітний файл (3VX)</w:t>
      </w:r>
      <w:r w:rsidR="001F5CF5" w:rsidRPr="001F71A7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1F71A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hAnsi="Times New Roman" w:cs="Times New Roman"/>
          <w:sz w:val="28"/>
          <w:szCs w:val="28"/>
          <w:lang w:eastAsia="uk-UA"/>
        </w:rPr>
        <w:t xml:space="preserve">та/або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9F704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б один раз </w:t>
      </w:r>
      <w:r w:rsidR="002A6AB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визначення коефіцієнту імовірності дефолту боржника, якщо класи боржника та гру</w:t>
      </w:r>
      <w:r w:rsidR="00FE059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звітну дату подається інформація щодо боржників банку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активами яких на звітну дату банк розраховує кредитний ризик </w:t>
      </w:r>
      <w:r w:rsidR="008678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8678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8678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умови, коли по таким активам PD=0</w:t>
      </w:r>
      <w:r w:rsidR="008678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боржника)]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85F207" w14:textId="1D0B788A" w:rsidR="00016046" w:rsidRPr="001F71A7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</w:t>
      </w:r>
      <w:r w:rsidR="002A6AB2" w:rsidRPr="001F71A7">
        <w:rPr>
          <w:rStyle w:val="ae"/>
          <w:rFonts w:ascii="Times New Roman" w:eastAsia="Times New Roman" w:hAnsi="Times New Roman"/>
          <w:sz w:val="28"/>
          <w:szCs w:val="28"/>
          <w:lang w:eastAsia="uk-UA"/>
        </w:rPr>
        <w:footnoteReference w:id="2"/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5E68AFFC" w:rsidR="004011B4" w:rsidRPr="001F71A7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1F71A7">
        <w:rPr>
          <w:b/>
          <w:sz w:val="28"/>
          <w:szCs w:val="28"/>
          <w:lang w:eastAsia="uk-UA"/>
        </w:rPr>
        <w:t xml:space="preserve"> </w:t>
      </w:r>
      <w:r w:rsidR="008678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кредит погашено станом на звітну дату, проте договір кредитування діє (при цьому не проводиться розрахунок кредитного ризику)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боржник на звітну дату не відповідає умові, зазначен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678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678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1 цих правил</w:t>
      </w:r>
      <w:r w:rsidR="001E58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для так</w:t>
      </w:r>
      <w:r w:rsidR="0079289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Т100</w:t>
      </w:r>
      <w:r w:rsidR="00DF7CB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Т100_2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9D27D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K115_1, K115_2, 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031,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F063, </w:t>
      </w:r>
      <w:r w:rsidR="00C13690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6146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F110, F111, F112, F113, F114</w:t>
      </w:r>
      <w:r w:rsidR="005A6ED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</w:t>
      </w:r>
      <w:r w:rsidR="00DF7CB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S080_1, S080_2, S080_3, S080_4,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20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Q026 повинно дорівнювати “0000”,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70153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Q036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549EE3" w14:textId="27778DA8" w:rsidR="00011982" w:rsidRPr="001F71A7" w:rsidRDefault="00011982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кредитний ризик боржника оцінюється на груповій основі, то для такого боржника показник A3V001 за метрикою Т100_1 повинен заповнюватися значенням</w:t>
      </w:r>
      <w:r w:rsidR="00ED0A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вимогам Положення №</w:t>
      </w:r>
      <w:r w:rsidR="0053338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(у разі якщо по боржнику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наявно два активи та більше, що оцінюються на груповій основі, то </w:t>
      </w:r>
      <w:r w:rsidR="00ED0A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значення) та </w:t>
      </w:r>
      <w:r w:rsidR="0053338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метрикою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Т100_2 </w:t>
      </w:r>
      <w:r w:rsidR="0053338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“0”, інші параметри</w:t>
      </w:r>
      <w:r w:rsidR="0053338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</w:t>
      </w:r>
      <w:r w:rsidR="0053338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ED0AB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особливостей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показника A3V001.</w:t>
      </w:r>
    </w:p>
    <w:p w14:paraId="17774D65" w14:textId="10872821" w:rsidR="004011B4" w:rsidRPr="001F71A7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351. Значення показника за метрикою Т100</w:t>
      </w:r>
      <w:r w:rsidR="00011982" w:rsidRPr="001F71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30EB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7E7F474" w:rsidR="00883DBF" w:rsidRPr="001F71A7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періодичності аналізу звітності групи,</w:t>
      </w:r>
      <w:r w:rsidR="00BC0BF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F003 заповнюється значенням “0”,</w:t>
      </w:r>
      <w:r w:rsidR="00E323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F082 заповнюється значенням коду, що відповідає групі,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1F71A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F073, F114, 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D27D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K115_2, </w:t>
      </w:r>
      <w:r w:rsidR="00F2241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12B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 не заповнюються</w:t>
      </w:r>
      <w:r w:rsidR="0090471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3119C6" w14:textId="77777777" w:rsidR="005141E2" w:rsidRPr="001F71A7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1F71A7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1F71A7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5232AF26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093216DA" w:rsidR="00F25DAC" w:rsidRPr="001F71A7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боржнику відсутні дані фінансової звітність, що відповіда</w:t>
      </w:r>
      <w:r w:rsidR="001F5CF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вимогам абзаців 7 та 8 пункту 48 Положення № 351 та/або такий боржник є новоствореним (підпункт 2 пункту 161 Положення № 351)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відсутня інформація для заповнення параметра F059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 самостійно, користуючись загальнодоступною інформацією про такого боржника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значення такого параметра з урахуванням вимог пункту 13 Положення № 351.</w:t>
      </w:r>
    </w:p>
    <w:p w14:paraId="3116A4D5" w14:textId="79968F27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238FB95D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6B8C9044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DF33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57CF3E3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F076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01F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Положення №</w:t>
      </w:r>
      <w:r w:rsidR="00DF33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2C01F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подію дефолту 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2C01FC" w:rsidRPr="001F71A7">
        <w:rPr>
          <w:rFonts w:ascii="Times New Roman" w:hAnsi="Times New Roman" w:cs="Times New Roman"/>
          <w:sz w:val="28"/>
          <w:szCs w:val="28"/>
          <w:lang w:eastAsia="uk-UA"/>
        </w:rPr>
        <w:t xml:space="preserve">, на підставі якої коригується клас </w:t>
      </w:r>
      <w:r w:rsidR="002C01F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F076).</w:t>
      </w:r>
      <w:r w:rsidR="002C01FC" w:rsidRPr="001F71A7">
        <w:rPr>
          <w:rFonts w:ascii="Times New Roman" w:hAnsi="Times New Roman" w:cs="Times New Roman"/>
          <w:sz w:val="28"/>
          <w:szCs w:val="28"/>
          <w:lang w:eastAsia="uk-UA"/>
        </w:rPr>
        <w:t xml:space="preserve"> Якщо наявні дві або більше ознак, то зазначається перша за номером коду.</w:t>
      </w:r>
    </w:p>
    <w:p w14:paraId="2335ED91" w14:textId="77777777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5CBCC361" w14:textId="77777777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F110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F111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5EAB4D09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3363FEA9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</w:t>
      </w:r>
      <w:r w:rsidR="004F1419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впливу групи на скор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гований клас боржника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F114).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F114 заповнюється значеннями від 1 до 4 за умов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заповнення НРП Q026. При цьому, якщо на звітну дату клас боржника не коригується до класу групи (класи боржника та групи співпадають), то параметр F114 заповнюється з урахуванням фактору належності боржника до групи (пункти 62-64 Положення № 351) і коефіцієнт імовірності дефолту боржника (метрика Т100_1) визначається з урахуванням впливу галузі групи (відповідно до вимог пункту 66 Положення № 351).</w:t>
      </w:r>
    </w:p>
    <w:p w14:paraId="09733FE9" w14:textId="77777777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5055A092" w:rsidR="0090471A" w:rsidRPr="001F71A7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  <w:r w:rsidR="009515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155A" w:rsidRPr="009515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код стану заборгованості (параметр F003) дорівнює значенню “1”, або “2”, або “3”, то параметр F116 набуває значення “#” – розріз відсутній.</w:t>
      </w:r>
    </w:p>
    <w:p w14:paraId="0E3BDAA9" w14:textId="77777777" w:rsidR="00575B29" w:rsidRPr="001F71A7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1F71A7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231FAEAA" w14:textId="77777777" w:rsidR="00F25DAC" w:rsidRPr="001F71A7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</w:p>
    <w:p w14:paraId="117C72D2" w14:textId="6EAE17B0" w:rsidR="00666C0A" w:rsidRPr="001F71A7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6E4BF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EE602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контрагентам/учасникам групи юридичних осіб під спільним контролем наявні різні коди країн, то зазначається код країни</w:t>
      </w:r>
      <w:r w:rsidR="00114BC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 з двох),</w:t>
      </w:r>
      <w:r w:rsidR="00594E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належить материнській компанії/контролеру або учаснику групи юридичних осіб під спільним контролем, фінансова звітність якого свідчить, що він генерує грошові потоки групи або володіє/розпоряджається активами групи (якщо він не є материнською компанією/контролером).</w:t>
      </w:r>
    </w:p>
    <w:p w14:paraId="6E4DAB91" w14:textId="77777777" w:rsidR="00BC2834" w:rsidRPr="001F71A7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1F71A7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1F71A7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6F07AE3C" w14:textId="257227D1" w:rsidR="00845440" w:rsidRPr="001F71A7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K115_1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боржника/групи</w:t>
      </w:r>
      <w:r w:rsidR="003214C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додатка 7 до Положення № 351 (довідник K115).</w:t>
      </w:r>
    </w:p>
    <w:p w14:paraId="37CD7C5F" w14:textId="276E39EB" w:rsidR="00845440" w:rsidRPr="001F71A7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K115_2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</w:t>
      </w:r>
      <w:r w:rsidR="003214C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 урахуванням впливу групи (довідник K115).</w:t>
      </w:r>
    </w:p>
    <w:p w14:paraId="53EDE982" w14:textId="6FA6DA0A" w:rsidR="00666C0A" w:rsidRPr="001F71A7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1F71A7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A67D429" w14:textId="5568DC70" w:rsidR="00CA1237" w:rsidRPr="001F71A7" w:rsidRDefault="00CA123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з урахуванням фактору належності боржника до групи, </w:t>
      </w:r>
      <w:r w:rsidR="007D7AC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визначений </w:t>
      </w:r>
      <w:r w:rsidR="003214C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D7AC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параметрі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F074,</w:t>
      </w:r>
      <w:r w:rsidR="004F141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вимог</w:t>
      </w:r>
      <w:r w:rsidR="007D7AC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підпунктів 1 та 2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</w:t>
      </w:r>
      <w:r w:rsidR="007F5E30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61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№ 351 (довідник S080).</w:t>
      </w:r>
    </w:p>
    <w:p w14:paraId="27032FE8" w14:textId="6C7CD204" w:rsidR="001E57D8" w:rsidRPr="001F71A7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</w:t>
      </w:r>
      <w:r w:rsidR="00CA1237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скор</w:t>
      </w:r>
      <w:r w:rsidR="003214C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16CE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на основі додаткових характеристик емітента цінних паперів з урахуванням вимог </w:t>
      </w:r>
      <w:r w:rsidR="007F5E30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підпунктів 1 та 2 </w:t>
      </w:r>
      <w:r w:rsidR="00D16CE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156 Положення № 351 (довідник S080).</w:t>
      </w:r>
    </w:p>
    <w:p w14:paraId="31C8055C" w14:textId="097D084C" w:rsidR="00FB1290" w:rsidRPr="001F71A7" w:rsidRDefault="00FB129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S080_4</w:t>
      </w:r>
      <w:r w:rsidRPr="001F71A7">
        <w:rPr>
          <w:rFonts w:ascii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1F71A7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1F71A7">
        <w:rPr>
          <w:rFonts w:ascii="Times New Roman" w:hAnsi="Times New Roman" w:cs="Times New Roman"/>
          <w:sz w:val="28"/>
          <w:szCs w:val="28"/>
          <w:lang w:eastAsia="uk-UA"/>
        </w:rPr>
        <w:t>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 351 (довідник S080).</w:t>
      </w:r>
    </w:p>
    <w:p w14:paraId="15E2C805" w14:textId="77777777" w:rsidR="00F25DAC" w:rsidRPr="001F71A7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1F71A7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1F71A7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1F71A7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1F71A7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38F92B6A" w:rsidR="001E57D8" w:rsidRPr="001F71A7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Q007_5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1F71A7">
        <w:rPr>
          <w:rFonts w:ascii="Times New Roman" w:hAnsi="Times New Roman"/>
          <w:sz w:val="28"/>
          <w:szCs w:val="28"/>
          <w:lang w:eastAsia="uk-UA"/>
        </w:rPr>
        <w:t>з урахуванням норм пункту 5</w:t>
      </w:r>
      <w:r w:rsidR="00131CA2" w:rsidRPr="001F71A7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="00131CA2" w:rsidRPr="001F71A7">
        <w:rPr>
          <w:rFonts w:ascii="Times New Roman" w:hAnsi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036310" w14:textId="6CB459F8" w:rsidR="003D2447" w:rsidRPr="001F71A7" w:rsidRDefault="003D244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Q007_6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припинення визнання дефолту боржника/визнання активу(</w:t>
      </w:r>
      <w:proofErr w:type="spellStart"/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) боржника непрацюючим(и) протягом звітного періоду.</w:t>
      </w:r>
    </w:p>
    <w:p w14:paraId="0EB6D068" w14:textId="1E9A9B3E" w:rsidR="0067017A" w:rsidRPr="001F71A7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відповідно до Положення №</w:t>
      </w:r>
      <w:r w:rsidR="00DF339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до групи </w:t>
      </w:r>
      <w:r w:rsidR="0038786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</w:t>
      </w:r>
      <w:r w:rsidR="001F71A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20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520FE" w:rsidRPr="001F71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675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4 знаки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675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порядковий номер групи містить менше </w:t>
      </w:r>
      <w:r w:rsidR="003214C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3214C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E520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 w:rsidR="00E520FE" w:rsidRPr="001F71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520F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026 повинно бути обов’язково заповнено.</w:t>
      </w:r>
    </w:p>
    <w:p w14:paraId="1665DF54" w14:textId="77777777" w:rsidR="00666C0A" w:rsidRPr="001F71A7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Q036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747D1210" w:rsidR="0048010B" w:rsidRPr="001F71A7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Т100_1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</w:t>
      </w:r>
      <w:r w:rsidR="007B582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містити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більше </w:t>
      </w:r>
      <w:r w:rsidR="00B92D86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  <w:r w:rsidR="003D24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значення коефіцієнта PD</w:t>
      </w:r>
      <w:r w:rsidR="007B5821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447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активу боржника з найнижчим (найгіршим) класом з урахуванням вимог пункту 27 Положення 351.</w:t>
      </w:r>
    </w:p>
    <w:p w14:paraId="63B75CD6" w14:textId="7D2AD39D" w:rsidR="00326BB0" w:rsidRPr="001F71A7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Т100_2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 відповідно до вимог Положення № 351. Значення надається не більше </w:t>
      </w:r>
      <w:r w:rsidR="00831D7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1F7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1F71A7" w:rsidSect="007E183A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8AF53" w14:textId="77777777" w:rsidR="0007215C" w:rsidRDefault="0007215C" w:rsidP="004011B4">
      <w:pPr>
        <w:spacing w:after="0" w:line="240" w:lineRule="auto"/>
      </w:pPr>
      <w:r>
        <w:separator/>
      </w:r>
    </w:p>
  </w:endnote>
  <w:endnote w:type="continuationSeparator" w:id="0">
    <w:p w14:paraId="172800D0" w14:textId="77777777" w:rsidR="0007215C" w:rsidRDefault="0007215C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7944F" w14:textId="77777777" w:rsidR="0007215C" w:rsidRDefault="0007215C" w:rsidP="004011B4">
      <w:pPr>
        <w:spacing w:after="0" w:line="240" w:lineRule="auto"/>
      </w:pPr>
      <w:r>
        <w:separator/>
      </w:r>
    </w:p>
  </w:footnote>
  <w:footnote w:type="continuationSeparator" w:id="0">
    <w:p w14:paraId="6912CD21" w14:textId="77777777" w:rsidR="0007215C" w:rsidRDefault="0007215C" w:rsidP="004011B4">
      <w:pPr>
        <w:spacing w:after="0" w:line="240" w:lineRule="auto"/>
      </w:pPr>
      <w:r>
        <w:continuationSeparator/>
      </w:r>
    </w:p>
  </w:footnote>
  <w:footnote w:id="1">
    <w:p w14:paraId="71102192" w14:textId="22C1C0B4" w:rsidR="002A6AB2" w:rsidRPr="00174185" w:rsidRDefault="002A6AB2">
      <w:pPr>
        <w:pStyle w:val="ac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</w:t>
      </w:r>
      <w:r w:rsidR="00594E86">
        <w:rPr>
          <w:rFonts w:ascii="Times New Roman" w:hAnsi="Times New Roman" w:cs="Times New Roman"/>
        </w:rPr>
        <w:t> </w:t>
      </w:r>
      <w:r w:rsidRPr="00174185">
        <w:rPr>
          <w:rFonts w:ascii="Times New Roman" w:hAnsi="Times New Roman" w:cs="Times New Roman"/>
        </w:rPr>
        <w:t>351 (зі змінами).</w:t>
      </w:r>
    </w:p>
  </w:footnote>
  <w:footnote w:id="2">
    <w:p w14:paraId="5C1BFDF4" w14:textId="77777777" w:rsidR="002A6AB2" w:rsidRDefault="002A6AB2" w:rsidP="002A6AB2">
      <w:pPr>
        <w:pStyle w:val="ac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1982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277F1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215C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475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8A6"/>
    <w:rsid w:val="000C6419"/>
    <w:rsid w:val="000D1E94"/>
    <w:rsid w:val="000E119A"/>
    <w:rsid w:val="000E4103"/>
    <w:rsid w:val="000F0EAA"/>
    <w:rsid w:val="000F6780"/>
    <w:rsid w:val="000F7563"/>
    <w:rsid w:val="000F78ED"/>
    <w:rsid w:val="00111B0A"/>
    <w:rsid w:val="00114BCD"/>
    <w:rsid w:val="00123298"/>
    <w:rsid w:val="00123EAD"/>
    <w:rsid w:val="0012407B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4185"/>
    <w:rsid w:val="00175EE8"/>
    <w:rsid w:val="00176CDE"/>
    <w:rsid w:val="00180132"/>
    <w:rsid w:val="001831F6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595A"/>
    <w:rsid w:val="001E0CB7"/>
    <w:rsid w:val="001E2070"/>
    <w:rsid w:val="001E57D8"/>
    <w:rsid w:val="001E589A"/>
    <w:rsid w:val="001F13B0"/>
    <w:rsid w:val="001F1B80"/>
    <w:rsid w:val="001F5592"/>
    <w:rsid w:val="001F5CF5"/>
    <w:rsid w:val="001F6943"/>
    <w:rsid w:val="001F71A7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433B"/>
    <w:rsid w:val="002744B6"/>
    <w:rsid w:val="0028027C"/>
    <w:rsid w:val="00285EE5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3C84"/>
    <w:rsid w:val="002B44A1"/>
    <w:rsid w:val="002B5EEA"/>
    <w:rsid w:val="002C01FC"/>
    <w:rsid w:val="002D0980"/>
    <w:rsid w:val="002D7736"/>
    <w:rsid w:val="002E2506"/>
    <w:rsid w:val="002E2626"/>
    <w:rsid w:val="00303197"/>
    <w:rsid w:val="00304DC0"/>
    <w:rsid w:val="0031365C"/>
    <w:rsid w:val="00314177"/>
    <w:rsid w:val="00316019"/>
    <w:rsid w:val="003214C6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55A17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9332D"/>
    <w:rsid w:val="003A00BA"/>
    <w:rsid w:val="003A1259"/>
    <w:rsid w:val="003A13D2"/>
    <w:rsid w:val="003A4EBF"/>
    <w:rsid w:val="003A743E"/>
    <w:rsid w:val="003A7443"/>
    <w:rsid w:val="003A78EE"/>
    <w:rsid w:val="003B35CE"/>
    <w:rsid w:val="003B6FDC"/>
    <w:rsid w:val="003C123F"/>
    <w:rsid w:val="003C129A"/>
    <w:rsid w:val="003C2B77"/>
    <w:rsid w:val="003C41A1"/>
    <w:rsid w:val="003D0D36"/>
    <w:rsid w:val="003D2447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83C"/>
    <w:rsid w:val="004A7AFC"/>
    <w:rsid w:val="004B06C0"/>
    <w:rsid w:val="004B33F1"/>
    <w:rsid w:val="004B66DF"/>
    <w:rsid w:val="004C1BD2"/>
    <w:rsid w:val="004D1CE0"/>
    <w:rsid w:val="004D2941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1419"/>
    <w:rsid w:val="004F6BBE"/>
    <w:rsid w:val="00506E31"/>
    <w:rsid w:val="005130E9"/>
    <w:rsid w:val="00513F1F"/>
    <w:rsid w:val="005141E2"/>
    <w:rsid w:val="00527A50"/>
    <w:rsid w:val="005311BA"/>
    <w:rsid w:val="005325F6"/>
    <w:rsid w:val="00532DA7"/>
    <w:rsid w:val="00533385"/>
    <w:rsid w:val="00535144"/>
    <w:rsid w:val="00535DF2"/>
    <w:rsid w:val="00537385"/>
    <w:rsid w:val="005402EB"/>
    <w:rsid w:val="00544DBC"/>
    <w:rsid w:val="00545A35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94E86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121EC"/>
    <w:rsid w:val="006135DF"/>
    <w:rsid w:val="00613E69"/>
    <w:rsid w:val="00616D24"/>
    <w:rsid w:val="00617DC7"/>
    <w:rsid w:val="0062229F"/>
    <w:rsid w:val="00622667"/>
    <w:rsid w:val="00631204"/>
    <w:rsid w:val="00634967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A5434"/>
    <w:rsid w:val="006B21F1"/>
    <w:rsid w:val="006C63A9"/>
    <w:rsid w:val="006D12F2"/>
    <w:rsid w:val="006D6356"/>
    <w:rsid w:val="006D6752"/>
    <w:rsid w:val="006D7158"/>
    <w:rsid w:val="006E4BFC"/>
    <w:rsid w:val="006E4FE7"/>
    <w:rsid w:val="006E6422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06E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3EC1"/>
    <w:rsid w:val="00796969"/>
    <w:rsid w:val="007978C0"/>
    <w:rsid w:val="00797D48"/>
    <w:rsid w:val="007A1947"/>
    <w:rsid w:val="007A1EF8"/>
    <w:rsid w:val="007A3237"/>
    <w:rsid w:val="007A3B62"/>
    <w:rsid w:val="007A63C6"/>
    <w:rsid w:val="007B1114"/>
    <w:rsid w:val="007B2FDF"/>
    <w:rsid w:val="007B5821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D7AC3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5CAC"/>
    <w:rsid w:val="007F5E30"/>
    <w:rsid w:val="00800157"/>
    <w:rsid w:val="008010BF"/>
    <w:rsid w:val="00804DA4"/>
    <w:rsid w:val="008058F7"/>
    <w:rsid w:val="008107CB"/>
    <w:rsid w:val="00821A6E"/>
    <w:rsid w:val="00826DB8"/>
    <w:rsid w:val="00831D7E"/>
    <w:rsid w:val="00833CB3"/>
    <w:rsid w:val="00834337"/>
    <w:rsid w:val="00841164"/>
    <w:rsid w:val="00845440"/>
    <w:rsid w:val="00851755"/>
    <w:rsid w:val="00851A99"/>
    <w:rsid w:val="00861A2C"/>
    <w:rsid w:val="00862551"/>
    <w:rsid w:val="00864020"/>
    <w:rsid w:val="008678BD"/>
    <w:rsid w:val="00867DC2"/>
    <w:rsid w:val="00876328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960F8"/>
    <w:rsid w:val="008A0355"/>
    <w:rsid w:val="008A2660"/>
    <w:rsid w:val="008A7BF1"/>
    <w:rsid w:val="008C3577"/>
    <w:rsid w:val="008C6817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2A6F"/>
    <w:rsid w:val="00923695"/>
    <w:rsid w:val="00923C05"/>
    <w:rsid w:val="009332D0"/>
    <w:rsid w:val="00934373"/>
    <w:rsid w:val="00934498"/>
    <w:rsid w:val="00940E8C"/>
    <w:rsid w:val="009454A1"/>
    <w:rsid w:val="00946980"/>
    <w:rsid w:val="009508C4"/>
    <w:rsid w:val="00951486"/>
    <w:rsid w:val="0095155A"/>
    <w:rsid w:val="0095238A"/>
    <w:rsid w:val="009534FD"/>
    <w:rsid w:val="00953BC4"/>
    <w:rsid w:val="00955E55"/>
    <w:rsid w:val="0095675C"/>
    <w:rsid w:val="00960C53"/>
    <w:rsid w:val="009619FA"/>
    <w:rsid w:val="00965760"/>
    <w:rsid w:val="00971196"/>
    <w:rsid w:val="0097400E"/>
    <w:rsid w:val="00976060"/>
    <w:rsid w:val="00983535"/>
    <w:rsid w:val="00986F13"/>
    <w:rsid w:val="009872F8"/>
    <w:rsid w:val="009927B9"/>
    <w:rsid w:val="0099457D"/>
    <w:rsid w:val="009A3CD8"/>
    <w:rsid w:val="009B5CF3"/>
    <w:rsid w:val="009C3AC4"/>
    <w:rsid w:val="009D0019"/>
    <w:rsid w:val="009D148E"/>
    <w:rsid w:val="009D27DF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32FD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29A5"/>
    <w:rsid w:val="00B461E9"/>
    <w:rsid w:val="00B46EF4"/>
    <w:rsid w:val="00B501CE"/>
    <w:rsid w:val="00B518E8"/>
    <w:rsid w:val="00B52885"/>
    <w:rsid w:val="00B57C00"/>
    <w:rsid w:val="00B70908"/>
    <w:rsid w:val="00B762FB"/>
    <w:rsid w:val="00B80932"/>
    <w:rsid w:val="00B82FCB"/>
    <w:rsid w:val="00B92D86"/>
    <w:rsid w:val="00B94C7C"/>
    <w:rsid w:val="00BA75E7"/>
    <w:rsid w:val="00BB1FC6"/>
    <w:rsid w:val="00BB43DD"/>
    <w:rsid w:val="00BB4D8F"/>
    <w:rsid w:val="00BB5B92"/>
    <w:rsid w:val="00BC0BF1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5B6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39A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2075"/>
    <w:rsid w:val="00CF397F"/>
    <w:rsid w:val="00CF582A"/>
    <w:rsid w:val="00CF5A0D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27D06"/>
    <w:rsid w:val="00E30C5E"/>
    <w:rsid w:val="00E31FC7"/>
    <w:rsid w:val="00E323FE"/>
    <w:rsid w:val="00E34981"/>
    <w:rsid w:val="00E40070"/>
    <w:rsid w:val="00E41F99"/>
    <w:rsid w:val="00E422BE"/>
    <w:rsid w:val="00E45B7C"/>
    <w:rsid w:val="00E520FE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0ABD"/>
    <w:rsid w:val="00ED17C8"/>
    <w:rsid w:val="00EE2E2A"/>
    <w:rsid w:val="00EE49EF"/>
    <w:rsid w:val="00EE602E"/>
    <w:rsid w:val="00EE7308"/>
    <w:rsid w:val="00EF0C69"/>
    <w:rsid w:val="00EF374C"/>
    <w:rsid w:val="00EF6944"/>
    <w:rsid w:val="00EF7415"/>
    <w:rsid w:val="00F00429"/>
    <w:rsid w:val="00F01039"/>
    <w:rsid w:val="00F02D22"/>
    <w:rsid w:val="00F06433"/>
    <w:rsid w:val="00F11073"/>
    <w:rsid w:val="00F11108"/>
    <w:rsid w:val="00F15007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377FE"/>
    <w:rsid w:val="00F4097F"/>
    <w:rsid w:val="00F42F31"/>
    <w:rsid w:val="00F4525D"/>
    <w:rsid w:val="00F45B1D"/>
    <w:rsid w:val="00F465C9"/>
    <w:rsid w:val="00F500D4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B1290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090A-8A6A-46D7-ADF5-36E74FF1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7261</Words>
  <Characters>4139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2019-08-12T11:27:00Z</cp:lastPrinted>
  <dcterms:created xsi:type="dcterms:W3CDTF">2021-05-31T08:48:00Z</dcterms:created>
  <dcterms:modified xsi:type="dcterms:W3CDTF">2021-05-31T08:48:00Z</dcterms:modified>
</cp:coreProperties>
</file>